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alibri" w:cs="Calibri" w:eastAsia="Calibri" w:hAnsi="Calibri"/>
          <w:sz w:val="11"/>
          <w:szCs w:val="11"/>
          <w:color w:val="003366"/>
        </w:rPr>
        <w:t>TABLE OF CONTENTS</w:t>
      </w:r>
    </w:p>
    <w:p>
      <w:pPr>
        <w:spacing w:after="0" w:line="371" w:lineRule="exact"/>
        <w:rPr>
          <w:sz w:val="24"/>
          <w:szCs w:val="24"/>
          <w:color w:val="auto"/>
        </w:rPr>
      </w:pPr>
    </w:p>
    <w:tbl>
      <w:tblPr>
        <w:tblLayout w:type="fixed"/>
        <w:tblInd w:w="800" w:type="dxa"/>
        <w:tblCellMar>
          <w:top w:w="0" w:type="dxa"/>
          <w:left w:w="0" w:type="dxa"/>
          <w:bottom w:w="0" w:type="dxa"/>
          <w:right w:w="0" w:type="dxa"/>
        </w:tblCellMar>
      </w:tblPr>
      <w:tr>
        <w:trPr>
          <w:trHeight w:val="162"/>
        </w:trPr>
        <w:tc>
          <w:tcPr>
            <w:tcW w:w="728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July 2, 2026.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7280" w:type="dxa"/>
            <w:vAlign w:val="bottom"/>
          </w:tcPr>
          <w:p>
            <w:pPr>
              <w:ind w:left="6080"/>
              <w:spacing w:after="0"/>
              <w:rPr>
                <w:sz w:val="20"/>
                <w:szCs w:val="20"/>
                <w:color w:val="auto"/>
              </w:rPr>
            </w:pPr>
            <w:r>
              <w:rPr>
                <w:rFonts w:ascii="Times New Roman" w:cs="Times New Roman" w:eastAsia="Times New Roman" w:hAnsi="Times New Roman"/>
                <w:sz w:val="12"/>
                <w:szCs w:val="12"/>
                <w:b w:val="1"/>
                <w:bCs w:val="1"/>
                <w:color w:val="auto"/>
              </w:rPr>
              <w:t>Registration No. 333-</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7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34290</wp:posOffset>
            </wp:positionV>
            <wp:extent cx="9378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ind w:left="4280"/>
        <w:spacing w:after="0" w:line="233" w:lineRule="auto"/>
        <w:rPr>
          <w:sz w:val="20"/>
          <w:szCs w:val="20"/>
          <w:color w:val="auto"/>
        </w:rPr>
      </w:pPr>
      <w:r>
        <w:rPr>
          <w:rFonts w:ascii="Times New Roman" w:cs="Times New Roman" w:eastAsia="Times New Roman" w:hAnsi="Times New Roman"/>
          <w:sz w:val="12"/>
          <w:szCs w:val="1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2390775</wp:posOffset>
            </wp:positionH>
            <wp:positionV relativeFrom="paragraph">
              <wp:posOffset>40640</wp:posOffset>
            </wp:positionV>
            <wp:extent cx="9378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JEFFERSON CAPITAL,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64" w:lineRule="exact"/>
        <w:rPr>
          <w:sz w:val="24"/>
          <w:szCs w:val="24"/>
          <w:color w:val="auto"/>
        </w:rPr>
      </w:pPr>
    </w:p>
    <w:tbl>
      <w:tblPr>
        <w:tblLayout w:type="fixed"/>
        <w:tblInd w:w="800" w:type="dxa"/>
        <w:tblCellMar>
          <w:top w:w="0" w:type="dxa"/>
          <w:left w:w="0" w:type="dxa"/>
          <w:bottom w:w="0" w:type="dxa"/>
          <w:right w:w="0" w:type="dxa"/>
        </w:tblCellMar>
      </w:tblPr>
      <w:tr>
        <w:trPr>
          <w:trHeight w:val="137"/>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120" w:type="dxa"/>
            <w:vAlign w:val="bottom"/>
          </w:tcPr>
          <w:p>
            <w:pPr>
              <w:jc w:val="center"/>
              <w:ind w:left="341"/>
              <w:spacing w:after="0" w:line="137" w:lineRule="exact"/>
              <w:rPr>
                <w:sz w:val="20"/>
                <w:szCs w:val="20"/>
                <w:color w:val="auto"/>
              </w:rPr>
            </w:pPr>
            <w:r>
              <w:rPr>
                <w:rFonts w:ascii="Times New Roman" w:cs="Times New Roman" w:eastAsia="Times New Roman" w:hAnsi="Times New Roman"/>
                <w:sz w:val="12"/>
                <w:szCs w:val="12"/>
                <w:b w:val="1"/>
                <w:bCs w:val="1"/>
                <w:color w:val="auto"/>
                <w:w w:val="98"/>
              </w:rPr>
              <w:t>Delaware</w:t>
            </w:r>
          </w:p>
        </w:tc>
        <w:tc>
          <w:tcPr>
            <w:tcW w:w="300" w:type="dxa"/>
            <w:vAlign w:val="bottom"/>
          </w:tcPr>
          <w:p>
            <w:pPr>
              <w:spacing w:after="0"/>
              <w:rPr>
                <w:sz w:val="11"/>
                <w:szCs w:val="11"/>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1"/>
                <w:szCs w:val="11"/>
                <w:color w:val="auto"/>
              </w:rPr>
            </w:pPr>
          </w:p>
        </w:tc>
        <w:tc>
          <w:tcPr>
            <w:tcW w:w="2300" w:type="dxa"/>
            <w:vAlign w:val="bottom"/>
          </w:tcPr>
          <w:p>
            <w:pPr>
              <w:jc w:val="right"/>
              <w:ind w:right="980"/>
              <w:spacing w:after="0" w:line="137" w:lineRule="exact"/>
              <w:rPr>
                <w:sz w:val="20"/>
                <w:szCs w:val="20"/>
                <w:color w:val="auto"/>
              </w:rPr>
            </w:pPr>
            <w:r>
              <w:rPr>
                <w:rFonts w:ascii="Times New Roman" w:cs="Times New Roman" w:eastAsia="Times New Roman" w:hAnsi="Times New Roman"/>
                <w:sz w:val="12"/>
                <w:szCs w:val="12"/>
                <w:b w:val="1"/>
                <w:bCs w:val="1"/>
                <w:color w:val="auto"/>
              </w:rPr>
              <w:t>33-1923926</w:t>
            </w:r>
          </w:p>
        </w:tc>
        <w:tc>
          <w:tcPr>
            <w:tcW w:w="500" w:type="dxa"/>
            <w:vAlign w:val="bottom"/>
          </w:tcPr>
          <w:p>
            <w:pPr>
              <w:ind w:left="4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09"/>
        </w:trPr>
        <w:tc>
          <w:tcPr>
            <w:tcW w:w="540" w:type="dxa"/>
            <w:vAlign w:val="bottom"/>
          </w:tcPr>
          <w:p>
            <w:pPr>
              <w:spacing w:after="0"/>
              <w:rPr>
                <w:sz w:val="9"/>
                <w:szCs w:val="9"/>
                <w:color w:val="auto"/>
              </w:rPr>
            </w:pPr>
          </w:p>
        </w:tc>
        <w:tc>
          <w:tcPr>
            <w:tcW w:w="2120" w:type="dxa"/>
            <w:vAlign w:val="bottom"/>
          </w:tcPr>
          <w:p>
            <w:pPr>
              <w:ind w:left="580"/>
              <w:spacing w:after="0" w:line="110"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Pr>
          <w:p>
            <w:pPr>
              <w:jc w:val="center"/>
              <w:ind w:right="340"/>
              <w:spacing w:after="0" w:line="110" w:lineRule="exact"/>
              <w:rPr>
                <w:sz w:val="20"/>
                <w:szCs w:val="20"/>
                <w:color w:val="auto"/>
              </w:rPr>
            </w:pPr>
            <w:r>
              <w:rPr>
                <w:rFonts w:ascii="Times New Roman" w:cs="Times New Roman" w:eastAsia="Times New Roman" w:hAnsi="Times New Roman"/>
                <w:sz w:val="11"/>
                <w:szCs w:val="11"/>
                <w:color w:val="auto"/>
              </w:rPr>
              <w:t>(I.R.S. Employer</w:t>
            </w:r>
          </w:p>
        </w:tc>
        <w:tc>
          <w:tcPr>
            <w:tcW w:w="500" w:type="dxa"/>
            <w:vAlign w:val="bottom"/>
          </w:tcPr>
          <w:p>
            <w:pPr>
              <w:spacing w:after="0"/>
              <w:rPr>
                <w:sz w:val="9"/>
                <w:szCs w:val="9"/>
                <w:color w:val="auto"/>
              </w:rPr>
            </w:pPr>
          </w:p>
        </w:tc>
      </w:tr>
      <w:tr>
        <w:trPr>
          <w:trHeight w:val="141"/>
        </w:trPr>
        <w:tc>
          <w:tcPr>
            <w:tcW w:w="540" w:type="dxa"/>
            <w:vAlign w:val="bottom"/>
          </w:tcPr>
          <w:p>
            <w:pPr>
              <w:spacing w:after="0"/>
              <w:rPr>
                <w:sz w:val="12"/>
                <w:szCs w:val="12"/>
                <w:color w:val="auto"/>
              </w:rPr>
            </w:pPr>
          </w:p>
        </w:tc>
        <w:tc>
          <w:tcPr>
            <w:tcW w:w="2120" w:type="dxa"/>
            <w:vAlign w:val="bottom"/>
          </w:tcPr>
          <w:p>
            <w:pPr>
              <w:jc w:val="center"/>
              <w:ind w:left="361"/>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jc w:val="center"/>
              <w:ind w:right="300"/>
              <w:spacing w:after="0"/>
              <w:rPr>
                <w:sz w:val="20"/>
                <w:szCs w:val="20"/>
                <w:color w:val="auto"/>
              </w:rPr>
            </w:pPr>
            <w:r>
              <w:rPr>
                <w:rFonts w:ascii="Times New Roman" w:cs="Times New Roman" w:eastAsia="Times New Roman" w:hAnsi="Times New Roman"/>
                <w:sz w:val="11"/>
                <w:szCs w:val="11"/>
                <w:color w:val="auto"/>
              </w:rPr>
              <w:t>Identification Number)</w:t>
            </w:r>
          </w:p>
        </w:tc>
        <w:tc>
          <w:tcPr>
            <w:tcW w:w="500" w:type="dxa"/>
            <w:vAlign w:val="bottom"/>
          </w:tcPr>
          <w:p>
            <w:pPr>
              <w:spacing w:after="0"/>
              <w:rPr>
                <w:sz w:val="12"/>
                <w:szCs w:val="12"/>
                <w:color w:val="auto"/>
              </w:rPr>
            </w:pPr>
          </w:p>
        </w:tc>
      </w:tr>
      <w:tr>
        <w:trPr>
          <w:trHeight w:val="259"/>
        </w:trPr>
        <w:tc>
          <w:tcPr>
            <w:tcW w:w="5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960" w:type="dxa"/>
            <w:vAlign w:val="bottom"/>
            <w:gridSpan w:val="3"/>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w w:val="98"/>
              </w:rPr>
              <w:t>600 South Highway 169, Suite 1575</w:t>
            </w:r>
          </w:p>
        </w:tc>
        <w:tc>
          <w:tcPr>
            <w:tcW w:w="23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31"/>
        </w:trPr>
        <w:tc>
          <w:tcPr>
            <w:tcW w:w="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60" w:type="dxa"/>
            <w:vAlign w:val="bottom"/>
            <w:gridSpan w:val="3"/>
          </w:tcPr>
          <w:p>
            <w:pPr>
              <w:jc w:val="center"/>
              <w:ind w:left="38"/>
              <w:spacing w:after="0" w:line="131" w:lineRule="exact"/>
              <w:rPr>
                <w:sz w:val="20"/>
                <w:szCs w:val="20"/>
                <w:color w:val="auto"/>
              </w:rPr>
            </w:pPr>
            <w:r>
              <w:rPr>
                <w:rFonts w:ascii="Times New Roman" w:cs="Times New Roman" w:eastAsia="Times New Roman" w:hAnsi="Times New Roman"/>
                <w:sz w:val="12"/>
                <w:szCs w:val="12"/>
                <w:b w:val="1"/>
                <w:bCs w:val="1"/>
                <w:color w:val="auto"/>
                <w:w w:val="98"/>
              </w:rPr>
              <w:t>Minneapolis, Minnesota 55426</w:t>
            </w: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0"/>
        </w:trPr>
        <w:tc>
          <w:tcPr>
            <w:tcW w:w="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gridSpan w:val="3"/>
          </w:tcPr>
          <w:p>
            <w:pPr>
              <w:jc w:val="center"/>
              <w:ind w:left="78"/>
              <w:spacing w:after="0"/>
              <w:rPr>
                <w:sz w:val="20"/>
                <w:szCs w:val="20"/>
                <w:color w:val="auto"/>
              </w:rPr>
            </w:pPr>
            <w:r>
              <w:rPr>
                <w:rFonts w:ascii="Times New Roman" w:cs="Times New Roman" w:eastAsia="Times New Roman" w:hAnsi="Times New Roman"/>
                <w:sz w:val="12"/>
                <w:szCs w:val="12"/>
                <w:b w:val="1"/>
                <w:bCs w:val="1"/>
                <w:color w:val="auto"/>
                <w:w w:val="98"/>
              </w:rPr>
              <w:t>Phone Number: (320) 229-8505</w:t>
            </w:r>
          </w:p>
        </w:tc>
        <w:tc>
          <w:tcPr>
            <w:tcW w:w="23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41"/>
        </w:trPr>
        <w:tc>
          <w:tcPr>
            <w:tcW w:w="540" w:type="dxa"/>
            <w:vAlign w:val="bottom"/>
          </w:tcPr>
          <w:p>
            <w:pPr>
              <w:spacing w:after="0"/>
              <w:rPr>
                <w:sz w:val="12"/>
                <w:szCs w:val="12"/>
                <w:color w:val="auto"/>
              </w:rPr>
            </w:pPr>
          </w:p>
        </w:tc>
        <w:tc>
          <w:tcPr>
            <w:tcW w:w="638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tc>
        <w:tc>
          <w:tcPr>
            <w:tcW w:w="500" w:type="dxa"/>
            <w:vAlign w:val="bottom"/>
          </w:tcPr>
          <w:p>
            <w:pPr>
              <w:spacing w:after="0"/>
              <w:rPr>
                <w:sz w:val="12"/>
                <w:szCs w:val="12"/>
                <w:color w:val="auto"/>
              </w:rPr>
            </w:pPr>
          </w:p>
        </w:tc>
      </w:tr>
      <w:tr>
        <w:trPr>
          <w:trHeight w:val="150"/>
        </w:trPr>
        <w:tc>
          <w:tcPr>
            <w:tcW w:w="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David Burton</w:t>
            </w:r>
          </w:p>
        </w:tc>
        <w:tc>
          <w:tcPr>
            <w:tcW w:w="23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26"/>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7"/>
              </w:rPr>
              <w:t>Chief Executive Officer</w:t>
            </w:r>
          </w:p>
        </w:tc>
        <w:tc>
          <w:tcPr>
            <w:tcW w:w="23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1"/>
        </w:trPr>
        <w:tc>
          <w:tcPr>
            <w:tcW w:w="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60" w:type="dxa"/>
            <w:vAlign w:val="bottom"/>
            <w:gridSpan w:val="3"/>
          </w:tcPr>
          <w:p>
            <w:pPr>
              <w:jc w:val="center"/>
              <w:ind w:left="38"/>
              <w:spacing w:after="0" w:line="131" w:lineRule="exact"/>
              <w:rPr>
                <w:sz w:val="20"/>
                <w:szCs w:val="20"/>
                <w:color w:val="auto"/>
              </w:rPr>
            </w:pPr>
            <w:r>
              <w:rPr>
                <w:rFonts w:ascii="Times New Roman" w:cs="Times New Roman" w:eastAsia="Times New Roman" w:hAnsi="Times New Roman"/>
                <w:sz w:val="12"/>
                <w:szCs w:val="12"/>
                <w:b w:val="1"/>
                <w:bCs w:val="1"/>
                <w:color w:val="auto"/>
                <w:w w:val="98"/>
              </w:rPr>
              <w:t>600 South Highway 169, Suite 1575</w:t>
            </w: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3"/>
        </w:trPr>
        <w:tc>
          <w:tcPr>
            <w:tcW w:w="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60" w:type="dxa"/>
            <w:vAlign w:val="bottom"/>
            <w:gridSpan w:val="3"/>
          </w:tcPr>
          <w:p>
            <w:pPr>
              <w:jc w:val="center"/>
              <w:ind w:left="38"/>
              <w:spacing w:after="0" w:line="133" w:lineRule="exact"/>
              <w:rPr>
                <w:sz w:val="20"/>
                <w:szCs w:val="20"/>
                <w:color w:val="auto"/>
              </w:rPr>
            </w:pPr>
            <w:r>
              <w:rPr>
                <w:rFonts w:ascii="Times New Roman" w:cs="Times New Roman" w:eastAsia="Times New Roman" w:hAnsi="Times New Roman"/>
                <w:sz w:val="12"/>
                <w:szCs w:val="12"/>
                <w:b w:val="1"/>
                <w:bCs w:val="1"/>
                <w:color w:val="auto"/>
                <w:w w:val="98"/>
              </w:rPr>
              <w:t>Minneapolis, Minnesota 55426</w:t>
            </w: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9"/>
        </w:trPr>
        <w:tc>
          <w:tcPr>
            <w:tcW w:w="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60" w:type="dxa"/>
            <w:vAlign w:val="bottom"/>
            <w:gridSpan w:val="3"/>
          </w:tcPr>
          <w:p>
            <w:pPr>
              <w:jc w:val="center"/>
              <w:ind w:left="78"/>
              <w:spacing w:after="0"/>
              <w:rPr>
                <w:sz w:val="20"/>
                <w:szCs w:val="20"/>
                <w:color w:val="auto"/>
              </w:rPr>
            </w:pPr>
            <w:r>
              <w:rPr>
                <w:rFonts w:ascii="Times New Roman" w:cs="Times New Roman" w:eastAsia="Times New Roman" w:hAnsi="Times New Roman"/>
                <w:sz w:val="12"/>
                <w:szCs w:val="12"/>
                <w:b w:val="1"/>
                <w:bCs w:val="1"/>
                <w:color w:val="auto"/>
                <w:w w:val="98"/>
              </w:rPr>
              <w:t>Phone Number: (320) 229-8505</w:t>
            </w: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1"/>
        </w:trPr>
        <w:tc>
          <w:tcPr>
            <w:tcW w:w="540" w:type="dxa"/>
            <w:vAlign w:val="bottom"/>
          </w:tcPr>
          <w:p>
            <w:pPr>
              <w:spacing w:after="0"/>
              <w:rPr>
                <w:sz w:val="12"/>
                <w:szCs w:val="12"/>
                <w:color w:val="auto"/>
              </w:rPr>
            </w:pPr>
          </w:p>
        </w:tc>
        <w:tc>
          <w:tcPr>
            <w:tcW w:w="638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agent for service)</w:t>
            </w:r>
          </w:p>
        </w:tc>
        <w:tc>
          <w:tcPr>
            <w:tcW w:w="500" w:type="dxa"/>
            <w:vAlign w:val="bottom"/>
          </w:tcPr>
          <w:p>
            <w:pPr>
              <w:spacing w:after="0"/>
              <w:rPr>
                <w:sz w:val="12"/>
                <w:szCs w:val="12"/>
                <w:color w:val="auto"/>
              </w:rPr>
            </w:pPr>
          </w:p>
        </w:tc>
      </w:tr>
      <w:tr>
        <w:trPr>
          <w:trHeight w:val="189"/>
        </w:trPr>
        <w:tc>
          <w:tcPr>
            <w:tcW w:w="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i w:val="1"/>
                <w:iCs w:val="1"/>
                <w:color w:val="auto"/>
                <w:w w:val="96"/>
              </w:rPr>
              <w:t>Copies to</w:t>
            </w:r>
            <w:r>
              <w:rPr>
                <w:rFonts w:ascii="Times New Roman" w:cs="Times New Roman" w:eastAsia="Times New Roman" w:hAnsi="Times New Roman"/>
                <w:sz w:val="12"/>
                <w:szCs w:val="12"/>
                <w:b w:val="1"/>
                <w:bCs w:val="1"/>
                <w:color w:val="auto"/>
                <w:w w:val="96"/>
              </w:rPr>
              <w:t>:</w:t>
            </w:r>
          </w:p>
        </w:tc>
        <w:tc>
          <w:tcPr>
            <w:tcW w:w="2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67"/>
        </w:trPr>
        <w:tc>
          <w:tcPr>
            <w:tcW w:w="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120" w:type="dxa"/>
            <w:vAlign w:val="bottom"/>
          </w:tcPr>
          <w:p>
            <w:pPr>
              <w:jc w:val="center"/>
              <w:ind w:left="321"/>
              <w:spacing w:after="0"/>
              <w:rPr>
                <w:sz w:val="20"/>
                <w:szCs w:val="20"/>
                <w:color w:val="auto"/>
              </w:rPr>
            </w:pPr>
            <w:r>
              <w:rPr>
                <w:rFonts w:ascii="Times New Roman" w:cs="Times New Roman" w:eastAsia="Times New Roman" w:hAnsi="Times New Roman"/>
                <w:sz w:val="12"/>
                <w:szCs w:val="12"/>
                <w:b w:val="1"/>
                <w:bCs w:val="1"/>
                <w:color w:val="auto"/>
                <w:w w:val="98"/>
              </w:rPr>
              <w:t>Marc D. Jaffe</w:t>
            </w:r>
          </w:p>
        </w:tc>
        <w:tc>
          <w:tcPr>
            <w:tcW w:w="30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 ​</w:t>
            </w:r>
          </w:p>
        </w:tc>
        <w:tc>
          <w:tcPr>
            <w:tcW w:w="2300" w:type="dxa"/>
            <w:vAlign w:val="bottom"/>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Matthew Pfohl</w:t>
            </w:r>
          </w:p>
        </w:tc>
        <w:tc>
          <w:tcPr>
            <w:tcW w:w="500" w:type="dxa"/>
            <w:vAlign w:val="bottom"/>
          </w:tcPr>
          <w:p>
            <w:pPr>
              <w:ind w:left="48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3"/>
        </w:trPr>
        <w:tc>
          <w:tcPr>
            <w:tcW w:w="540" w:type="dxa"/>
            <w:vAlign w:val="bottom"/>
          </w:tcPr>
          <w:p>
            <w:pPr>
              <w:spacing w:after="0"/>
              <w:rPr>
                <w:sz w:val="11"/>
                <w:szCs w:val="11"/>
                <w:color w:val="auto"/>
              </w:rPr>
            </w:pPr>
          </w:p>
        </w:tc>
        <w:tc>
          <w:tcPr>
            <w:tcW w:w="2120" w:type="dxa"/>
            <w:vAlign w:val="bottom"/>
          </w:tcPr>
          <w:p>
            <w:pPr>
              <w:jc w:val="center"/>
              <w:ind w:left="321"/>
              <w:spacing w:after="0" w:line="133" w:lineRule="exact"/>
              <w:rPr>
                <w:sz w:val="20"/>
                <w:szCs w:val="20"/>
                <w:color w:val="auto"/>
              </w:rPr>
            </w:pPr>
            <w:r>
              <w:rPr>
                <w:rFonts w:ascii="Times New Roman" w:cs="Times New Roman" w:eastAsia="Times New Roman" w:hAnsi="Times New Roman"/>
                <w:sz w:val="12"/>
                <w:szCs w:val="12"/>
                <w:b w:val="1"/>
                <w:bCs w:val="1"/>
                <w:color w:val="auto"/>
                <w:w w:val="98"/>
              </w:rPr>
              <w:t>Erika Weinberg</w:t>
            </w: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7"/>
              </w:rPr>
              <w:t>Chief Administrative Officer and</w:t>
            </w:r>
          </w:p>
        </w:tc>
        <w:tc>
          <w:tcPr>
            <w:tcW w:w="500" w:type="dxa"/>
            <w:vAlign w:val="bottom"/>
          </w:tcPr>
          <w:p>
            <w:pPr>
              <w:spacing w:after="0"/>
              <w:rPr>
                <w:sz w:val="11"/>
                <w:szCs w:val="11"/>
                <w:color w:val="auto"/>
              </w:rPr>
            </w:pPr>
          </w:p>
        </w:tc>
      </w:tr>
      <w:tr>
        <w:trPr>
          <w:trHeight w:val="133"/>
        </w:trPr>
        <w:tc>
          <w:tcPr>
            <w:tcW w:w="540" w:type="dxa"/>
            <w:vAlign w:val="bottom"/>
          </w:tcPr>
          <w:p>
            <w:pPr>
              <w:spacing w:after="0"/>
              <w:rPr>
                <w:sz w:val="11"/>
                <w:szCs w:val="11"/>
                <w:color w:val="auto"/>
              </w:rPr>
            </w:pPr>
          </w:p>
        </w:tc>
        <w:tc>
          <w:tcPr>
            <w:tcW w:w="2120" w:type="dxa"/>
            <w:vAlign w:val="bottom"/>
          </w:tcPr>
          <w:p>
            <w:pPr>
              <w:jc w:val="center"/>
              <w:ind w:left="341"/>
              <w:spacing w:after="0" w:line="133" w:lineRule="exact"/>
              <w:rPr>
                <w:sz w:val="20"/>
                <w:szCs w:val="20"/>
                <w:color w:val="auto"/>
              </w:rPr>
            </w:pPr>
            <w:r>
              <w:rPr>
                <w:rFonts w:ascii="Times New Roman" w:cs="Times New Roman" w:eastAsia="Times New Roman" w:hAnsi="Times New Roman"/>
                <w:sz w:val="12"/>
                <w:szCs w:val="12"/>
                <w:b w:val="1"/>
                <w:bCs w:val="1"/>
                <w:color w:val="auto"/>
                <w:w w:val="99"/>
              </w:rPr>
              <w:t>Sandy Kugbei</w:t>
            </w: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rPr>
              <w:t>General Counsel</w:t>
            </w:r>
          </w:p>
        </w:tc>
        <w:tc>
          <w:tcPr>
            <w:tcW w:w="500" w:type="dxa"/>
            <w:vAlign w:val="bottom"/>
          </w:tcPr>
          <w:p>
            <w:pPr>
              <w:spacing w:after="0"/>
              <w:rPr>
                <w:sz w:val="11"/>
                <w:szCs w:val="11"/>
                <w:color w:val="auto"/>
              </w:rPr>
            </w:pPr>
          </w:p>
        </w:tc>
      </w:tr>
      <w:tr>
        <w:trPr>
          <w:trHeight w:val="144"/>
        </w:trPr>
        <w:tc>
          <w:tcPr>
            <w:tcW w:w="540" w:type="dxa"/>
            <w:vAlign w:val="bottom"/>
          </w:tcPr>
          <w:p>
            <w:pPr>
              <w:spacing w:after="0"/>
              <w:rPr>
                <w:sz w:val="12"/>
                <w:szCs w:val="12"/>
                <w:color w:val="auto"/>
              </w:rPr>
            </w:pPr>
          </w:p>
        </w:tc>
        <w:tc>
          <w:tcPr>
            <w:tcW w:w="2120" w:type="dxa"/>
            <w:vAlign w:val="bottom"/>
          </w:tcPr>
          <w:p>
            <w:pPr>
              <w:jc w:val="center"/>
              <w:ind w:left="341"/>
              <w:spacing w:after="0"/>
              <w:rPr>
                <w:sz w:val="20"/>
                <w:szCs w:val="20"/>
                <w:color w:val="auto"/>
              </w:rPr>
            </w:pPr>
            <w:r>
              <w:rPr>
                <w:rFonts w:ascii="Times New Roman" w:cs="Times New Roman" w:eastAsia="Times New Roman" w:hAnsi="Times New Roman"/>
                <w:sz w:val="12"/>
                <w:szCs w:val="12"/>
                <w:b w:val="1"/>
                <w:bCs w:val="1"/>
                <w:color w:val="auto"/>
                <w:w w:val="98"/>
              </w:rPr>
              <w:t>Latham &amp; Watkins LLP</w:t>
            </w: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Jefferson Capital, Inc.</w:t>
            </w:r>
          </w:p>
        </w:tc>
        <w:tc>
          <w:tcPr>
            <w:tcW w:w="500" w:type="dxa"/>
            <w:vAlign w:val="bottom"/>
          </w:tcPr>
          <w:p>
            <w:pPr>
              <w:spacing w:after="0"/>
              <w:rPr>
                <w:sz w:val="12"/>
                <w:szCs w:val="12"/>
                <w:color w:val="auto"/>
              </w:rPr>
            </w:pPr>
          </w:p>
        </w:tc>
      </w:tr>
      <w:tr>
        <w:trPr>
          <w:trHeight w:val="133"/>
        </w:trPr>
        <w:tc>
          <w:tcPr>
            <w:tcW w:w="540" w:type="dxa"/>
            <w:vAlign w:val="bottom"/>
          </w:tcPr>
          <w:p>
            <w:pPr>
              <w:spacing w:after="0"/>
              <w:rPr>
                <w:sz w:val="11"/>
                <w:szCs w:val="11"/>
                <w:color w:val="auto"/>
              </w:rPr>
            </w:pPr>
          </w:p>
        </w:tc>
        <w:tc>
          <w:tcPr>
            <w:tcW w:w="2120" w:type="dxa"/>
            <w:vAlign w:val="bottom"/>
          </w:tcPr>
          <w:p>
            <w:pPr>
              <w:jc w:val="center"/>
              <w:ind w:left="321"/>
              <w:spacing w:after="0" w:line="133" w:lineRule="exact"/>
              <w:rPr>
                <w:sz w:val="20"/>
                <w:szCs w:val="20"/>
                <w:color w:val="auto"/>
              </w:rPr>
            </w:pPr>
            <w:r>
              <w:rPr>
                <w:rFonts w:ascii="Times New Roman" w:cs="Times New Roman" w:eastAsia="Times New Roman" w:hAnsi="Times New Roman"/>
                <w:sz w:val="12"/>
                <w:szCs w:val="12"/>
                <w:b w:val="1"/>
                <w:bCs w:val="1"/>
                <w:color w:val="auto"/>
                <w:w w:val="97"/>
              </w:rPr>
              <w:t>1271 Avenue of the Americas</w:t>
            </w: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8"/>
              </w:rPr>
              <w:t>600 South Highway 169, Suite 1575</w:t>
            </w:r>
          </w:p>
        </w:tc>
        <w:tc>
          <w:tcPr>
            <w:tcW w:w="500" w:type="dxa"/>
            <w:vAlign w:val="bottom"/>
          </w:tcPr>
          <w:p>
            <w:pPr>
              <w:spacing w:after="0"/>
              <w:rPr>
                <w:sz w:val="11"/>
                <w:szCs w:val="11"/>
                <w:color w:val="auto"/>
              </w:rPr>
            </w:pPr>
          </w:p>
        </w:tc>
      </w:tr>
      <w:tr>
        <w:trPr>
          <w:trHeight w:val="133"/>
        </w:trPr>
        <w:tc>
          <w:tcPr>
            <w:tcW w:w="540" w:type="dxa"/>
            <w:vAlign w:val="bottom"/>
          </w:tcPr>
          <w:p>
            <w:pPr>
              <w:spacing w:after="0"/>
              <w:rPr>
                <w:sz w:val="11"/>
                <w:szCs w:val="11"/>
                <w:color w:val="auto"/>
              </w:rPr>
            </w:pPr>
          </w:p>
        </w:tc>
        <w:tc>
          <w:tcPr>
            <w:tcW w:w="2120" w:type="dxa"/>
            <w:vAlign w:val="bottom"/>
          </w:tcPr>
          <w:p>
            <w:pPr>
              <w:jc w:val="center"/>
              <w:ind w:left="321"/>
              <w:spacing w:after="0" w:line="133" w:lineRule="exact"/>
              <w:rPr>
                <w:sz w:val="20"/>
                <w:szCs w:val="20"/>
                <w:color w:val="auto"/>
              </w:rPr>
            </w:pPr>
            <w:r>
              <w:rPr>
                <w:rFonts w:ascii="Times New Roman" w:cs="Times New Roman" w:eastAsia="Times New Roman" w:hAnsi="Times New Roman"/>
                <w:sz w:val="12"/>
                <w:szCs w:val="12"/>
                <w:b w:val="1"/>
                <w:bCs w:val="1"/>
                <w:color w:val="auto"/>
                <w:w w:val="96"/>
              </w:rPr>
              <w:t>New York, New York 10020</w:t>
            </w: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8"/>
              </w:rPr>
              <w:t>Minneapolis, Minnesota 55426</w:t>
            </w:r>
          </w:p>
        </w:tc>
        <w:tc>
          <w:tcPr>
            <w:tcW w:w="500" w:type="dxa"/>
            <w:vAlign w:val="bottom"/>
          </w:tcPr>
          <w:p>
            <w:pPr>
              <w:spacing w:after="0"/>
              <w:rPr>
                <w:sz w:val="11"/>
                <w:szCs w:val="11"/>
                <w:color w:val="auto"/>
              </w:rPr>
            </w:pPr>
          </w:p>
        </w:tc>
      </w:tr>
      <w:tr>
        <w:trPr>
          <w:trHeight w:val="162"/>
        </w:trPr>
        <w:tc>
          <w:tcPr>
            <w:tcW w:w="540" w:type="dxa"/>
            <w:vAlign w:val="bottom"/>
          </w:tcPr>
          <w:p>
            <w:pPr>
              <w:spacing w:after="0"/>
              <w:rPr>
                <w:sz w:val="14"/>
                <w:szCs w:val="14"/>
                <w:color w:val="auto"/>
              </w:rPr>
            </w:pPr>
          </w:p>
        </w:tc>
        <w:tc>
          <w:tcPr>
            <w:tcW w:w="2120" w:type="dxa"/>
            <w:vAlign w:val="bottom"/>
          </w:tcPr>
          <w:p>
            <w:pPr>
              <w:jc w:val="center"/>
              <w:ind w:left="361"/>
              <w:spacing w:after="0"/>
              <w:rPr>
                <w:sz w:val="20"/>
                <w:szCs w:val="20"/>
                <w:color w:val="auto"/>
              </w:rPr>
            </w:pPr>
            <w:r>
              <w:rPr>
                <w:rFonts w:ascii="Times New Roman" w:cs="Times New Roman" w:eastAsia="Times New Roman" w:hAnsi="Times New Roman"/>
                <w:sz w:val="12"/>
                <w:szCs w:val="12"/>
                <w:b w:val="1"/>
                <w:bCs w:val="1"/>
                <w:color w:val="auto"/>
                <w:w w:val="98"/>
              </w:rPr>
              <w:t>(212) 906-1200</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(320) 229-8505</w:t>
            </w:r>
          </w:p>
        </w:tc>
        <w:tc>
          <w:tcPr>
            <w:tcW w:w="500" w:type="dxa"/>
            <w:vAlign w:val="bottom"/>
          </w:tcPr>
          <w:p>
            <w:pPr>
              <w:spacing w:after="0"/>
              <w:rPr>
                <w:sz w:val="14"/>
                <w:szCs w:val="14"/>
                <w:color w:val="auto"/>
              </w:rPr>
            </w:pPr>
          </w:p>
        </w:tc>
      </w:tr>
    </w:tbl>
    <w:p>
      <w:pPr>
        <w:spacing w:after="0" w:line="146" w:lineRule="exact"/>
        <w:rPr>
          <w:sz w:val="24"/>
          <w:szCs w:val="24"/>
          <w:color w:val="auto"/>
        </w:rPr>
      </w:pPr>
    </w:p>
    <w:p>
      <w:pPr>
        <w:ind w:left="800" w:right="879" w:firstLine="274"/>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registration statement.</w:t>
      </w:r>
    </w:p>
    <w:p>
      <w:pPr>
        <w:ind w:left="800" w:right="839" w:firstLine="274"/>
        <w:spacing w:after="0" w:line="157"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jc w:val="both"/>
        <w:ind w:left="800" w:right="999" w:firstLine="274"/>
        <w:spacing w:after="0" w:line="231" w:lineRule="auto"/>
        <w:rPr>
          <w:sz w:val="20"/>
          <w:szCs w:val="20"/>
          <w:color w:val="auto"/>
        </w:rPr>
      </w:pPr>
      <w:r>
        <w:rPr>
          <w:rFonts w:ascii="Times New Roman" w:cs="Times New Roman" w:eastAsia="Times New Roman" w:hAnsi="Times New Roman"/>
          <w:sz w:val="12"/>
          <w:szCs w:val="12"/>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w:t>
      </w:r>
    </w:p>
    <w:p>
      <w:pPr>
        <w:ind w:left="800"/>
        <w:spacing w:after="0" w:line="138" w:lineRule="exact"/>
        <w:rPr>
          <w:sz w:val="20"/>
          <w:szCs w:val="20"/>
          <w:color w:val="auto"/>
        </w:rPr>
      </w:pPr>
      <w:r>
        <w:rPr>
          <w:rFonts w:ascii="Times New Roman" w:cs="Times New Roman" w:eastAsia="Times New Roman" w:hAnsi="Times New Roman"/>
          <w:sz w:val="12"/>
          <w:szCs w:val="12"/>
          <w:color w:val="auto"/>
        </w:rPr>
        <w:t xml:space="preserve">box. </w:t>
      </w:r>
      <w:r>
        <w:rPr>
          <w:rFonts w:ascii="MS PGothic" w:cs="MS PGothic" w:eastAsia="MS PGothic" w:hAnsi="MS PGothic"/>
          <w:sz w:val="12"/>
          <w:szCs w:val="12"/>
          <w:color w:val="auto"/>
        </w:rPr>
        <w:t>☒</w:t>
      </w:r>
    </w:p>
    <w:p>
      <w:pPr>
        <w:spacing w:after="0" w:line="37" w:lineRule="exact"/>
        <w:rPr>
          <w:sz w:val="24"/>
          <w:szCs w:val="24"/>
          <w:color w:val="auto"/>
        </w:rPr>
      </w:pPr>
    </w:p>
    <w:p>
      <w:pPr>
        <w:ind w:left="800" w:right="919" w:firstLine="274"/>
        <w:spacing w:after="0" w:line="152"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1019" w:firstLine="274"/>
        <w:spacing w:after="0" w:line="15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1159" w:firstLine="274"/>
        <w:spacing w:after="0" w:line="152"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 effective amendment thereto that shall become effective on filing with the Commission pursuant to Rule 462(e) under the Securities Act,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839" w:firstLine="274"/>
        <w:spacing w:after="0" w:line="15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jc w:val="both"/>
        <w:ind w:left="800" w:right="999" w:firstLine="274"/>
        <w:spacing w:after="0" w:line="24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85" w:right="1440" w:bottom="1440" w:gutter="0" w:footer="0" w:header="0"/>
        </w:sectPr>
      </w:pPr>
    </w:p>
    <w:tbl>
      <w:tblPr>
        <w:tblLayout w:type="fixed"/>
        <w:tblInd w:w="1080" w:type="dxa"/>
        <w:tblCellMar>
          <w:top w:w="0" w:type="dxa"/>
          <w:left w:w="0" w:type="dxa"/>
          <w:bottom w:w="0" w:type="dxa"/>
          <w:right w:w="0" w:type="dxa"/>
        </w:tblCellMar>
      </w:tblPr>
      <w:tr>
        <w:trPr>
          <w:trHeight w:val="138"/>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vMerge w:val="restart"/>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10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Accelerated filer</w:t>
            </w:r>
          </w:p>
        </w:tc>
        <w:tc>
          <w:tcPr>
            <w:tcW w:w="320" w:type="dxa"/>
            <w:vAlign w:val="bottom"/>
            <w:vMerge w:val="restart"/>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0"/>
        </w:trPr>
        <w:tc>
          <w:tcPr>
            <w:tcW w:w="1320" w:type="dxa"/>
            <w:vAlign w:val="bottom"/>
          </w:tcPr>
          <w:p>
            <w:pPr>
              <w:spacing w:after="0" w:line="11" w:lineRule="exact"/>
              <w:rPr>
                <w:sz w:val="20"/>
                <w:szCs w:val="20"/>
                <w:color w:val="auto"/>
              </w:rPr>
            </w:pPr>
            <w:r>
              <w:rPr>
                <w:rFonts w:ascii="Times New Roman" w:cs="Times New Roman" w:eastAsia="Times New Roman" w:hAnsi="Times New Roman"/>
                <w:sz w:val="1"/>
                <w:szCs w:val="1"/>
                <w:color w:val="auto"/>
              </w:rPr>
              <w:t>Large accelerated filer</w:t>
            </w:r>
          </w:p>
        </w:tc>
        <w:tc>
          <w:tcPr>
            <w:tcW w:w="1200" w:type="dxa"/>
            <w:vAlign w:val="bottom"/>
            <w:vMerge w:val="continue"/>
          </w:tcPr>
          <w:p>
            <w:pPr>
              <w:spacing w:after="0" w:line="20" w:lineRule="exact"/>
              <w:rPr>
                <w:sz w:val="1"/>
                <w:szCs w:val="1"/>
                <w:color w:val="auto"/>
              </w:rPr>
            </w:pPr>
          </w:p>
        </w:tc>
        <w:tc>
          <w:tcPr>
            <w:tcW w:w="1000" w:type="dxa"/>
            <w:vAlign w:val="bottom"/>
            <w:vMerge w:val="restart"/>
          </w:tcPr>
          <w:p>
            <w:pPr>
              <w:ind w:left="9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32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vMerge w:val="restart"/>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10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20" w:type="dxa"/>
            <w:vAlign w:val="bottom"/>
            <w:vMerge w:val="restart"/>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41"/>
        </w:trPr>
        <w:tc>
          <w:tcPr>
            <w:tcW w:w="132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Non-accelerated filer</w:t>
            </w:r>
          </w:p>
        </w:tc>
        <w:tc>
          <w:tcPr>
            <w:tcW w:w="12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spacing w:after="0"/>
              <w:rPr>
                <w:sz w:val="24"/>
                <w:szCs w:val="24"/>
                <w:color w:val="auto"/>
              </w:rPr>
            </w:pPr>
          </w:p>
        </w:tc>
        <w:tc>
          <w:tcPr>
            <w:tcW w:w="2720" w:type="dxa"/>
            <w:vAlign w:val="bottom"/>
            <w:gridSpan w:val="3"/>
          </w:tcPr>
          <w:p>
            <w:pPr>
              <w:ind w:left="960"/>
              <w:spacing w:after="0"/>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Emerging growth company</w:t>
            </w:r>
          </w:p>
        </w:tc>
        <w:tc>
          <w:tcPr>
            <w:tcW w:w="3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800" w:right="280" w:firstLine="274"/>
        <w:spacing w:after="0" w:line="15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jc w:val="center"/>
        <w:ind w:left="800"/>
        <w:spacing w:after="0" w:line="261"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w:t>
      </w:r>
    </w:p>
    <w:p>
      <w:pPr>
        <w:ind w:left="800" w:right="100"/>
        <w:spacing w:after="0" w:line="233" w:lineRule="auto"/>
        <w:rPr>
          <w:sz w:val="20"/>
          <w:szCs w:val="20"/>
          <w:color w:val="auto"/>
        </w:rPr>
      </w:pPr>
      <w:r>
        <w:rPr>
          <w:rFonts w:ascii="Times New Roman" w:cs="Times New Roman" w:eastAsia="Times New Roman" w:hAnsi="Times New Roman"/>
          <w:sz w:val="12"/>
          <w:szCs w:val="12"/>
          <w:b w:val="1"/>
          <w:bCs w:val="1"/>
          <w:color w:val="auto"/>
        </w:rPr>
        <w:t>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508635</wp:posOffset>
            </wp:positionH>
            <wp:positionV relativeFrom="paragraph">
              <wp:posOffset>10160</wp:posOffset>
            </wp:positionV>
            <wp:extent cx="47028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02810"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rPr>
          <w:sz w:val="20"/>
          <w:szCs w:val="20"/>
          <w:color w:val="auto"/>
        </w:rPr>
      </w:pPr>
      <w:r>
        <w:rPr>
          <w:rFonts w:ascii="Times New Roman" w:cs="Times New Roman" w:eastAsia="Times New Roman" w:hAnsi="Times New Roman"/>
          <w:sz w:val="12"/>
          <w:szCs w:val="12"/>
          <w:color w:val="auto"/>
        </w:rPr>
        <w: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2">
            <w:col w:w="8000" w:space="200"/>
            <w:col w:w="819"/>
          </w:cols>
          <w:pgMar w:left="1440" w:top="185" w:right="1440" w:bottom="1440" w:gutter="0" w:footer="0" w:header="0"/>
          <w:type w:val="continuous"/>
        </w:sectPr>
      </w:pPr>
    </w:p>
    <w:bookmarkStart w:id="1" w:name="page2"/>
    <w:bookmarkEnd w:id="1"/>
    <w:p>
      <w:pPr>
        <w:ind w:left="44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358" w:lineRule="exact"/>
        <w:rPr>
          <w:sz w:val="20"/>
          <w:szCs w:val="20"/>
          <w:color w:val="auto"/>
        </w:rPr>
      </w:pPr>
    </w:p>
    <w:tbl>
      <w:tblPr>
        <w:tblLayout w:type="fixed"/>
        <w:tblInd w:w="760" w:type="dxa"/>
        <w:tblCellMar>
          <w:top w:w="0" w:type="dxa"/>
          <w:left w:w="0" w:type="dxa"/>
          <w:bottom w:w="0" w:type="dxa"/>
          <w:right w:w="0" w:type="dxa"/>
        </w:tblCellMar>
      </w:tblPr>
      <w:tr>
        <w:trPr>
          <w:trHeight w:val="127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Securities and Exchange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not permitted.</w:t>
            </w:r>
          </w:p>
        </w:tc>
      </w:tr>
      <w:tr>
        <w:trPr>
          <w:trHeight w:val="316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may not be sold until the registration statement filed with the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buy these securities in any jurisdiction where the offer or sale</w:t>
            </w:r>
          </w:p>
        </w:tc>
      </w:tr>
      <w:tr>
        <w:trPr>
          <w:trHeight w:val="2000"/>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and may be changed. These securities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offer to sell nor does it seek an offer to</w:t>
            </w:r>
          </w:p>
        </w:tc>
      </w:tr>
      <w:tr>
        <w:trPr>
          <w:trHeight w:val="48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complete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is not an</w:t>
            </w:r>
          </w:p>
        </w:tc>
      </w:tr>
      <w:tr>
        <w:trPr>
          <w:trHeight w:val="272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The information in this preliminary prospectus is not</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7"/>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FC0014"/>
        </w:rPr>
        <w:t>Subject to Completion, dated July 2,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77470</wp:posOffset>
            </wp:positionV>
            <wp:extent cx="1445895" cy="527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5895" cy="52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JEFFERSON CAPITAL, INC.</w:t>
      </w:r>
    </w:p>
    <w:p>
      <w:pPr>
        <w:spacing w:after="0" w:line="16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$100,000,000</w:t>
      </w:r>
    </w:p>
    <w:p>
      <w:pPr>
        <w:spacing w:after="0" w:line="6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9"/>
          <w:szCs w:val="19"/>
          <w:b w:val="1"/>
          <w:bCs w:val="1"/>
          <w:color w:val="auto"/>
        </w:rPr>
        <w:t>Preferred Stock</w:t>
      </w:r>
    </w:p>
    <w:p>
      <w:pPr>
        <w:jc w:val="center"/>
        <w:ind w:right="859"/>
        <w:spacing w:after="0" w:line="236" w:lineRule="auto"/>
        <w:rPr>
          <w:sz w:val="20"/>
          <w:szCs w:val="20"/>
          <w:color w:val="auto"/>
        </w:rPr>
      </w:pPr>
      <w:r>
        <w:rPr>
          <w:rFonts w:ascii="Times New Roman" w:cs="Times New Roman" w:eastAsia="Times New Roman" w:hAnsi="Times New Roman"/>
          <w:sz w:val="19"/>
          <w:szCs w:val="19"/>
          <w:b w:val="1"/>
          <w:bCs w:val="1"/>
          <w:color w:val="auto"/>
        </w:rPr>
        <w:t>Debt Securities</w:t>
      </w:r>
    </w:p>
    <w:p>
      <w:pPr>
        <w:jc w:val="center"/>
        <w:ind w:right="859"/>
        <w:spacing w:after="0" w:line="237" w:lineRule="auto"/>
        <w:rPr>
          <w:sz w:val="20"/>
          <w:szCs w:val="20"/>
          <w:color w:val="auto"/>
        </w:rPr>
      </w:pPr>
      <w:r>
        <w:rPr>
          <w:rFonts w:ascii="Times New Roman" w:cs="Times New Roman" w:eastAsia="Times New Roman" w:hAnsi="Times New Roman"/>
          <w:sz w:val="19"/>
          <w:szCs w:val="19"/>
          <w:b w:val="1"/>
          <w:bCs w:val="1"/>
          <w:color w:val="auto"/>
        </w:rPr>
        <w:t>Warrants</w:t>
      </w:r>
    </w:p>
    <w:p>
      <w:pPr>
        <w:jc w:val="center"/>
        <w:ind w:right="859"/>
        <w:spacing w:after="0" w:line="225" w:lineRule="auto"/>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37"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9"/>
          <w:szCs w:val="19"/>
          <w:b w:val="1"/>
          <w:bCs w:val="1"/>
          <w:color w:val="auto"/>
        </w:rPr>
        <w:t>32,721,807 Shares</w:t>
      </w:r>
    </w:p>
    <w:p>
      <w:pPr>
        <w:spacing w:after="0" w:line="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9"/>
          <w:szCs w:val="19"/>
          <w:b w:val="1"/>
          <w:bCs w:val="1"/>
          <w:color w:val="auto"/>
        </w:rPr>
        <w:t>Common Stock</w:t>
      </w:r>
    </w:p>
    <w:p>
      <w:pPr>
        <w:jc w:val="center"/>
        <w:ind w:right="819"/>
        <w:spacing w:after="0"/>
        <w:rPr>
          <w:sz w:val="20"/>
          <w:szCs w:val="20"/>
          <w:color w:val="auto"/>
        </w:rPr>
      </w:pPr>
      <w:r>
        <w:rPr>
          <w:rFonts w:ascii="Times New Roman" w:cs="Times New Roman" w:eastAsia="Times New Roman" w:hAnsi="Times New Roman"/>
          <w:sz w:val="19"/>
          <w:szCs w:val="19"/>
          <w:b w:val="1"/>
          <w:bCs w:val="1"/>
          <w:color w:val="auto"/>
        </w:rPr>
        <w:t>Offered by the Selling Stockholders</w:t>
      </w:r>
    </w:p>
    <w:p>
      <w:pPr>
        <w:spacing w:after="0" w:line="73" w:lineRule="exact"/>
        <w:rPr>
          <w:sz w:val="20"/>
          <w:szCs w:val="20"/>
          <w:color w:val="auto"/>
        </w:rPr>
      </w:pPr>
    </w:p>
    <w:p>
      <w:pPr>
        <w:ind w:right="839" w:firstLine="274"/>
        <w:spacing w:after="0" w:line="241" w:lineRule="auto"/>
        <w:rPr>
          <w:sz w:val="20"/>
          <w:szCs w:val="20"/>
          <w:color w:val="auto"/>
        </w:rPr>
      </w:pPr>
      <w:r>
        <w:rPr>
          <w:rFonts w:ascii="Times New Roman" w:cs="Times New Roman" w:eastAsia="Times New Roman" w:hAnsi="Times New Roman"/>
          <w:sz w:val="14"/>
          <w:szCs w:val="14"/>
          <w:color w:val="auto"/>
        </w:rPr>
        <w:t>We may offer and sell up to $100,000,000 in the aggregate of the securities identified above, and the Selling Stockholders (as defined below) may offer and sell up to 32,721,807 shares in the aggregate of common stock identified above, in each case from time to time in one or more offerings. This prospectus provides you with a general description of the securities. We will not receive any proceeds from the sale of our common stock by the Selling Stockholders.</w:t>
      </w:r>
    </w:p>
    <w:p>
      <w:pPr>
        <w:spacing w:after="0" w:line="61" w:lineRule="exact"/>
        <w:rPr>
          <w:sz w:val="20"/>
          <w:szCs w:val="20"/>
          <w:color w:val="auto"/>
        </w:rPr>
      </w:pPr>
    </w:p>
    <w:p>
      <w:pPr>
        <w:ind w:right="859" w:firstLine="274"/>
        <w:spacing w:after="0" w:line="239" w:lineRule="auto"/>
        <w:rPr>
          <w:sz w:val="20"/>
          <w:szCs w:val="20"/>
          <w:color w:val="auto"/>
        </w:rPr>
      </w:pPr>
      <w:r>
        <w:rPr>
          <w:rFonts w:ascii="Times New Roman" w:cs="Times New Roman" w:eastAsia="Times New Roman" w:hAnsi="Times New Roman"/>
          <w:sz w:val="14"/>
          <w:szCs w:val="14"/>
          <w:color w:val="auto"/>
        </w:rPr>
        <w:t>Each time we or any of the Selling Stockholders offer and sell securities, we or such securityholders will provide a supplement to this prospectus that contains specific information about the offering and, if applicable, the Selling Stockholders, as well as the amounts, prices and terms of the securities being offered.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70" w:lineRule="exact"/>
        <w:rPr>
          <w:sz w:val="20"/>
          <w:szCs w:val="20"/>
          <w:color w:val="auto"/>
        </w:rPr>
      </w:pPr>
    </w:p>
    <w:p>
      <w:pPr>
        <w:ind w:right="839" w:firstLine="274"/>
        <w:spacing w:after="0"/>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In addition, the Selling Stockholders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6" w:lineRule="exact"/>
        <w:rPr>
          <w:sz w:val="20"/>
          <w:szCs w:val="20"/>
          <w:color w:val="auto"/>
        </w:rPr>
      </w:pPr>
    </w:p>
    <w:p>
      <w:pPr>
        <w:ind w:right="919" w:firstLine="274"/>
        <w:spacing w:after="0" w:line="271"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SEE THE “</w:t>
      </w:r>
      <w:r>
        <w:rPr>
          <w:rFonts w:ascii="Times New Roman" w:cs="Times New Roman" w:eastAsia="Times New Roman" w:hAnsi="Times New Roman"/>
          <w:sz w:val="13"/>
          <w:szCs w:val="13"/>
          <w:b w:val="1"/>
          <w:bCs w:val="1"/>
          <w:u w:val="single" w:color="auto"/>
          <w:color w:val="auto"/>
        </w:rPr>
        <w:t>RISK FACTORS</w:t>
      </w:r>
      <w:r>
        <w:rPr>
          <w:rFonts w:ascii="Times New Roman" w:cs="Times New Roman" w:eastAsia="Times New Roman" w:hAnsi="Times New Roman"/>
          <w:sz w:val="13"/>
          <w:szCs w:val="13"/>
          <w:b w:val="1"/>
          <w:bCs w:val="1"/>
          <w:color w:val="auto"/>
        </w:rPr>
        <w:t xml:space="preserve">” ON PAGE </w:t>
      </w:r>
      <w:r>
        <w:rPr>
          <w:rFonts w:ascii="Times New Roman" w:cs="Times New Roman" w:eastAsia="Times New Roman" w:hAnsi="Times New Roman"/>
          <w:sz w:val="13"/>
          <w:szCs w:val="13"/>
          <w:b w:val="1"/>
          <w:bCs w:val="1"/>
          <w:u w:val="single" w:color="auto"/>
          <w:color w:val="0000EE"/>
        </w:rPr>
        <w:t>7</w:t>
      </w:r>
      <w:r>
        <w:rPr>
          <w:rFonts w:ascii="Times New Roman" w:cs="Times New Roman" w:eastAsia="Times New Roman" w:hAnsi="Times New Roman"/>
          <w:sz w:val="13"/>
          <w:szCs w:val="13"/>
          <w:b w:val="1"/>
          <w:bCs w:val="1"/>
          <w:color w:val="auto"/>
        </w:rPr>
        <w:t xml:space="preserve"> OF THIS PROSPECTUS AND ANY SIMILAR SECTION CONTAINED IN THE APPLICABLE PROSPECTUS SUPPLEMENT CONCERNING FACTORS YOU SHOULD CONSIDER BEFORE INVESTING IN OUR SECURITIES.</w:t>
      </w:r>
    </w:p>
    <w:p>
      <w:pPr>
        <w:spacing w:after="0" w:line="52" w:lineRule="exact"/>
        <w:rPr>
          <w:sz w:val="20"/>
          <w:szCs w:val="20"/>
          <w:color w:val="auto"/>
        </w:rPr>
      </w:pPr>
    </w:p>
    <w:p>
      <w:pPr>
        <w:ind w:right="1019" w:firstLine="274"/>
        <w:spacing w:after="0" w:line="25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“JCAP.” On July 1, 2026, the last reported sale price of our common stock on the Nasdaq Global Select Market was $19.61 per share.</w:t>
      </w:r>
    </w:p>
    <w:p>
      <w:pPr>
        <w:spacing w:after="0" w:line="49" w:lineRule="exact"/>
        <w:rPr>
          <w:sz w:val="20"/>
          <w:szCs w:val="20"/>
          <w:color w:val="auto"/>
        </w:rPr>
      </w:pPr>
    </w:p>
    <w:p>
      <w:pPr>
        <w:ind w:right="1059" w:firstLine="274"/>
        <w:spacing w:after="0" w:line="25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9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332105</wp:posOffset>
            </wp:positionV>
            <wp:extent cx="51720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2075" cy="38735"/>
                    </a:xfrm>
                    <a:prstGeom prst="rect">
                      <a:avLst/>
                    </a:prstGeom>
                    <a:noFill/>
                  </pic:spPr>
                </pic:pic>
              </a:graphicData>
            </a:graphic>
          </wp:anchor>
        </w:drawing>
      </w:r>
    </w:p>
    <w:p>
      <w:pPr>
        <w:sectPr>
          <w:pgSz w:w="11900" w:h="16838" w:orient="portrait"/>
          <w:cols w:equalWidth="0" w:num="2">
            <w:col w:w="1000" w:space="300"/>
            <w:col w:w="7719"/>
          </w:cols>
          <w:pgMar w:left="1440" w:top="108" w:right="1440" w:bottom="1440" w:gutter="0" w:footer="0" w:header="0"/>
          <w:type w:val="continuous"/>
        </w:sectPr>
      </w:pPr>
    </w:p>
    <w:bookmarkStart w:id="2" w:name="page3"/>
    <w:bookmarkEnd w:id="2"/>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-86995</wp:posOffset>
            </wp:positionV>
            <wp:extent cx="3960495"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91440"/>
                    </a:xfrm>
                    <a:prstGeom prst="rect">
                      <a:avLst/>
                    </a:prstGeom>
                    <a:noFill/>
                  </pic:spPr>
                </pic:pic>
              </a:graphicData>
            </a:graphic>
          </wp:anchor>
        </w:drawing>
      </w:r>
    </w:p>
    <w:p>
      <w:pPr>
        <w:spacing w:after="0" w:line="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-9525</wp:posOffset>
            </wp:positionV>
            <wp:extent cx="39604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INCORPORATION BY REFERENCE</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GLOBAL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SECURITIES</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3960495" cy="149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0495" cy="149860"/>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34</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34</w:t>
      </w:r>
      <w:r>
        <w:rPr>
          <w:rFonts w:ascii="Times New Roman" w:cs="Times New Roman" w:eastAsia="Times New Roman" w:hAnsi="Times New Roman"/>
          <w:sz w:val="14"/>
          <w:szCs w:val="14"/>
          <w:color w:val="auto"/>
        </w:rPr>
        <w:t>​</w:t>
      </w:r>
    </w:p>
    <w:p>
      <w:pPr>
        <w:sectPr>
          <w:pgSz w:w="11900" w:h="16838" w:orient="portrait"/>
          <w:cols w:equalWidth="0" w:num="2">
            <w:col w:w="6660" w:space="700"/>
            <w:col w:w="1659"/>
          </w:cols>
          <w:pgMar w:left="1440" w:top="103" w:right="1440" w:bottom="1440" w:gutter="0" w:footer="0" w:header="0"/>
        </w:sectPr>
      </w:pPr>
    </w:p>
    <w:bookmarkStart w:id="3" w:name="page4"/>
    <w:bookmarkEnd w:id="3"/>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0" w:lineRule="exact"/>
        <w:rPr>
          <w:sz w:val="20"/>
          <w:szCs w:val="20"/>
          <w:color w:val="auto"/>
        </w:rPr>
      </w:pPr>
    </w:p>
    <w:p>
      <w:pPr>
        <w:ind w:left="1380" w:right="1439" w:firstLine="273"/>
        <w:spacing w:after="0" w:line="246"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using a “shelf” registration process. By using a shelf registration statement, we may sell securities from time to time and in one or more offerings up to a total dollar amount of $100,000,000 and the Selling Stockholders to be named in a supplement to this prospectus may, from time to time, sell up to 32,721,807 shares of common stock from time to time in one or more offerings as described in this prospectus. Each time that we or the Selling Stockholders offer and sell securities, we or the Selling Stockholders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99" w:lineRule="exact"/>
        <w:rPr>
          <w:sz w:val="20"/>
          <w:szCs w:val="20"/>
          <w:color w:val="auto"/>
        </w:rPr>
      </w:pPr>
    </w:p>
    <w:p>
      <w:pPr>
        <w:ind w:left="1380" w:right="1399" w:firstLine="273"/>
        <w:spacing w:after="0" w:line="245"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62" w:lineRule="exact"/>
        <w:rPr>
          <w:sz w:val="20"/>
          <w:szCs w:val="20"/>
          <w:color w:val="auto"/>
        </w:rPr>
      </w:pPr>
    </w:p>
    <w:p>
      <w:pPr>
        <w:ind w:left="1380" w:right="1479" w:firstLine="273"/>
        <w:spacing w:after="0" w:line="255" w:lineRule="auto"/>
        <w:rPr>
          <w:sz w:val="20"/>
          <w:szCs w:val="20"/>
          <w:color w:val="auto"/>
        </w:rPr>
      </w:pPr>
      <w:r>
        <w:rPr>
          <w:rFonts w:ascii="Times New Roman" w:cs="Times New Roman" w:eastAsia="Times New Roman" w:hAnsi="Times New Roman"/>
          <w:sz w:val="14"/>
          <w:szCs w:val="14"/>
          <w:color w:val="auto"/>
        </w:rPr>
        <w:t>When we refer to “Jefferson Capital,” “we,” “our,” “us” and the “Company” in this prospectus, we mean Jefferson Capital, Inc. and its consolidated subsidiaries, unless otherwise specified. When we refer to “you,” we mean the potential holders of the applicable series of securities.</w:t>
      </w:r>
    </w:p>
    <w:p>
      <w:pPr>
        <w:spacing w:after="0" w:line="92" w:lineRule="exact"/>
        <w:rPr>
          <w:sz w:val="20"/>
          <w:szCs w:val="20"/>
          <w:color w:val="auto"/>
        </w:rPr>
      </w:pPr>
    </w:p>
    <w:p>
      <w:pPr>
        <w:ind w:left="1380" w:right="1419" w:firstLine="273"/>
        <w:spacing w:after="0" w:line="233" w:lineRule="auto"/>
        <w:rPr>
          <w:sz w:val="20"/>
          <w:szCs w:val="20"/>
          <w:color w:val="auto"/>
        </w:rPr>
      </w:pPr>
      <w:r>
        <w:rPr>
          <w:rFonts w:ascii="Times New Roman" w:cs="Times New Roman" w:eastAsia="Times New Roman" w:hAnsi="Times New Roman"/>
          <w:sz w:val="14"/>
          <w:szCs w:val="14"/>
          <w:color w:val="auto"/>
        </w:rPr>
        <w:t xml:space="preserve">We own or have rights to certain trademarks, service marks or trade names that we use in connection with the operation of our business, including to our names, logos and website names and addresses. Solely for convenience, in some cases, the trademarks, service marks and trade names referred to in this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 and ™ symbol, but such references are not intended to indicate, in any way, that we will not assert, to the fullest extent under applicable law, our rights or the right of the applicable licensor to these trademarks, service marks or trade names.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 w:name="page5"/>
    <w:bookmarkEnd w:id="4"/>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0" w:lineRule="exact"/>
        <w:rPr>
          <w:sz w:val="20"/>
          <w:szCs w:val="20"/>
          <w:color w:val="auto"/>
        </w:rPr>
      </w:pPr>
    </w:p>
    <w:p>
      <w:pPr>
        <w:ind w:left="1380" w:right="1459" w:firstLine="273"/>
        <w:spacing w:after="0" w:line="237" w:lineRule="auto"/>
        <w:rPr>
          <w:sz w:val="20"/>
          <w:szCs w:val="20"/>
          <w:color w:val="auto"/>
        </w:rPr>
      </w:pPr>
      <w:r>
        <w:rPr>
          <w:rFonts w:ascii="Times New Roman" w:cs="Times New Roman" w:eastAsia="Times New Roman" w:hAnsi="Times New Roman"/>
          <w:sz w:val="14"/>
          <w:szCs w:val="14"/>
          <w:color w:val="auto"/>
        </w:rPr>
        <w:t>This prospectus contains forward-looking statements about Jefferson Capital, Inc. We intend such forward-looking statements to be covered by the safe harbor provisions for forward-looking statements contained in Section 27A of the Securities Act of 1933, as amended (the “Securities Act”), and Section 21E of the Securities Exchange Act of 1934, as amended. Statements that are not historical or current facts, including statements about beliefs and expectations, are forward-looking statements and are based on the information available to, and assumptions and estimates made by, management as of the date hereof. These forward-looking statements cover, among other things, future economic conditions and the anticipated future revenue, expenses, financial condition, asset quality, capital and liquidity levels, plans, prospects and operations of Jefferson Capital, Inc. Forward-looking statements often use words such as “anticipates,” “targets,” “expects,” “hopes,” “estimates,” “projects,” “forecasts,” “intends,” “plans,” “goals,” “believes,” “continue” and other similar expressions or future or conditional verbs such as “will,” “may,” “might,” “should,” “would” and “could.”</w:t>
      </w:r>
    </w:p>
    <w:p>
      <w:pPr>
        <w:spacing w:after="0" w:line="93" w:lineRule="exact"/>
        <w:rPr>
          <w:sz w:val="20"/>
          <w:szCs w:val="20"/>
          <w:color w:val="auto"/>
        </w:rPr>
      </w:pPr>
    </w:p>
    <w:p>
      <w:pPr>
        <w:ind w:left="1380" w:right="1459" w:firstLine="273"/>
        <w:spacing w:after="0"/>
        <w:rPr>
          <w:sz w:val="20"/>
          <w:szCs w:val="20"/>
          <w:color w:val="auto"/>
        </w:rPr>
      </w:pPr>
      <w:r>
        <w:rPr>
          <w:rFonts w:ascii="Times New Roman" w:cs="Times New Roman" w:eastAsia="Times New Roman" w:hAnsi="Times New Roman"/>
          <w:sz w:val="14"/>
          <w:szCs w:val="14"/>
          <w:color w:val="auto"/>
        </w:rPr>
        <w:t>Forward-looking statements involve inherent risks and uncertainties that could cause actual results to differ materially from those set forth in forward-looking statements. Factors that may materially affect such forward-looking statements include:</w:t>
      </w:r>
    </w:p>
    <w:p>
      <w:pPr>
        <w:spacing w:after="0" w:line="61" w:lineRule="exact"/>
        <w:rPr>
          <w:sz w:val="20"/>
          <w:szCs w:val="20"/>
          <w:color w:val="auto"/>
        </w:rPr>
      </w:pPr>
    </w:p>
    <w:p>
      <w:pPr>
        <w:ind w:left="1800" w:right="1559" w:hanging="141"/>
        <w:spacing w:after="0" w:line="255"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in general business and economic conditions or turbulence in domestic or global financial markets, which could adversely affect Jefferson Capital, Inc.’s revenues and the values of its assets and liabilities;</w:t>
      </w:r>
    </w:p>
    <w:p>
      <w:pPr>
        <w:spacing w:after="0" w:line="61"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turmoil and volatility in the financial services industry;</w:t>
      </w:r>
    </w:p>
    <w:p>
      <w:pPr>
        <w:spacing w:after="0" w:line="85" w:lineRule="exact"/>
        <w:rPr>
          <w:rFonts w:ascii="Times New Roman" w:cs="Times New Roman" w:eastAsia="Times New Roman" w:hAnsi="Times New Roman"/>
          <w:sz w:val="14"/>
          <w:szCs w:val="14"/>
          <w:color w:val="auto"/>
        </w:rPr>
      </w:pPr>
    </w:p>
    <w:p>
      <w:pPr>
        <w:ind w:left="1800" w:right="1699" w:hanging="141"/>
        <w:spacing w:after="0" w:line="266"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governmental agencies to stabilize the financial system and the effectiveness of such actions;</w:t>
      </w:r>
    </w:p>
    <w:p>
      <w:pPr>
        <w:spacing w:after="0" w:line="4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unemployment rates;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current, pending or future litigation and governmental proceedings;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both banks and non-banks;</w:t>
      </w:r>
    </w:p>
    <w:p>
      <w:pPr>
        <w:spacing w:after="0" w:line="74"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climate change and related physical and transition risks;</w:t>
      </w:r>
    </w:p>
    <w:p>
      <w:pPr>
        <w:spacing w:after="0" w:line="85" w:lineRule="exact"/>
        <w:rPr>
          <w:rFonts w:ascii="Times New Roman" w:cs="Times New Roman" w:eastAsia="Times New Roman" w:hAnsi="Times New Roman"/>
          <w:sz w:val="14"/>
          <w:szCs w:val="14"/>
          <w:color w:val="auto"/>
        </w:rPr>
      </w:pPr>
    </w:p>
    <w:p>
      <w:pPr>
        <w:ind w:left="1800" w:right="1479" w:hanging="141"/>
        <w:spacing w:after="0" w:line="266"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behavior and preferences and the ability to implement technological changes to respond to customer needs and meet competitive demands;</w:t>
      </w:r>
    </w:p>
    <w:p>
      <w:pPr>
        <w:spacing w:after="0" w:line="53" w:lineRule="exact"/>
        <w:rPr>
          <w:rFonts w:ascii="Times New Roman" w:cs="Times New Roman" w:eastAsia="Times New Roman" w:hAnsi="Times New Roman"/>
          <w:sz w:val="14"/>
          <w:szCs w:val="14"/>
          <w:color w:val="auto"/>
        </w:rPr>
      </w:pPr>
    </w:p>
    <w:p>
      <w:pPr>
        <w:jc w:val="both"/>
        <w:ind w:left="1800" w:right="1559" w:hanging="141"/>
        <w:spacing w:after="0" w:line="266"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or disruptions in or breaches of Jefferson Capital, Inc’s operational, technology or security systems or infrastructure, or those of third parties, including as a result of cybersecurity incidents;</w:t>
      </w:r>
    </w:p>
    <w:p>
      <w:pPr>
        <w:spacing w:after="0" w:line="5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to safeguard personal information;</w:t>
      </w:r>
    </w:p>
    <w:p>
      <w:pPr>
        <w:spacing w:after="0" w:line="85" w:lineRule="exact"/>
        <w:rPr>
          <w:rFonts w:ascii="Times New Roman" w:cs="Times New Roman" w:eastAsia="Times New Roman" w:hAnsi="Times New Roman"/>
          <w:sz w:val="14"/>
          <w:szCs w:val="14"/>
          <w:color w:val="auto"/>
        </w:rPr>
      </w:pPr>
    </w:p>
    <w:p>
      <w:pPr>
        <w:ind w:left="1800" w:right="1519" w:hanging="141"/>
        <w:spacing w:after="0" w:line="266"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pandemics, natural disasters, terrorist activities, civil unrest, international hostilities and geopolitical events;</w:t>
      </w:r>
    </w:p>
    <w:p>
      <w:pPr>
        <w:spacing w:after="0" w:line="4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supply chain disruptions, rising inflation, slower growth or a recession;</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execute on strategic or operational plans;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mergers and acquisitions and related integration;</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critical accounting policies and judgments;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changes in or interpretations of tax laws and regulations; and</w:t>
      </w:r>
    </w:p>
    <w:p>
      <w:pPr>
        <w:spacing w:after="0" w:line="85" w:lineRule="exact"/>
        <w:rPr>
          <w:rFonts w:ascii="Times New Roman" w:cs="Times New Roman" w:eastAsia="Times New Roman" w:hAnsi="Times New Roman"/>
          <w:sz w:val="14"/>
          <w:szCs w:val="14"/>
          <w:color w:val="auto"/>
        </w:rPr>
      </w:pPr>
    </w:p>
    <w:p>
      <w:pPr>
        <w:ind w:left="1800" w:right="1519" w:hanging="141"/>
        <w:spacing w:after="0" w:line="266"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ability to effectively manage market risk, operational risk, compliance risk, strategic risk, liquidity risk and reputation risk.</w:t>
      </w:r>
    </w:p>
    <w:p>
      <w:pPr>
        <w:spacing w:after="0" w:line="74" w:lineRule="exact"/>
        <w:rPr>
          <w:sz w:val="20"/>
          <w:szCs w:val="20"/>
          <w:color w:val="auto"/>
        </w:rPr>
      </w:pPr>
    </w:p>
    <w:p>
      <w:pPr>
        <w:jc w:val="both"/>
        <w:ind w:left="1380" w:right="1439" w:firstLine="273"/>
        <w:spacing w:after="0" w:line="241" w:lineRule="auto"/>
        <w:rPr>
          <w:sz w:val="20"/>
          <w:szCs w:val="20"/>
          <w:color w:val="auto"/>
        </w:rPr>
      </w:pPr>
      <w:r>
        <w:rPr>
          <w:rFonts w:ascii="Times New Roman" w:cs="Times New Roman" w:eastAsia="Times New Roman" w:hAnsi="Times New Roman"/>
          <w:sz w:val="14"/>
          <w:szCs w:val="14"/>
          <w:color w:val="auto"/>
        </w:rPr>
        <w:t>Factors other than these risks, including those described under the sections entitled “Risk Factors” and “Management’s Discussion and Analysis of Financial Condition and Results of Operations” in our Annual Report on Form 10-K and Quarterly Reports on Form 10-Q, incorporated by reference into this prospectus, also could adversely affect our results, and the reader should not consider these risks to be a complete set of</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 w:name="page6"/>
    <w:bookmarkEnd w:id="5"/>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39"/>
        <w:spacing w:after="0" w:line="255" w:lineRule="auto"/>
        <w:rPr>
          <w:sz w:val="20"/>
          <w:szCs w:val="20"/>
          <w:color w:val="auto"/>
        </w:rPr>
      </w:pPr>
      <w:r>
        <w:rPr>
          <w:rFonts w:ascii="Times New Roman" w:cs="Times New Roman" w:eastAsia="Times New Roman" w:hAnsi="Times New Roman"/>
          <w:sz w:val="14"/>
          <w:szCs w:val="14"/>
          <w:color w:val="auto"/>
        </w:rPr>
        <w:t>all potential risks or uncertainties. Readers are cautioned not to place undue reliance on any forward-looking statements. Forward-looking statements speak only as of the date hereof, and we undertake no obligation to update them in light of new information or future events, except as required by applicable law.</w:t>
      </w:r>
    </w:p>
    <w:p>
      <w:pPr>
        <w:spacing w:after="0" w:line="92" w:lineRule="exact"/>
        <w:rPr>
          <w:sz w:val="20"/>
          <w:szCs w:val="20"/>
          <w:color w:val="auto"/>
        </w:rPr>
      </w:pPr>
    </w:p>
    <w:p>
      <w:pPr>
        <w:ind w:left="1380" w:right="1499" w:firstLine="273"/>
        <w:spacing w:after="0" w:line="24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 w:name="page7"/>
    <w:bookmarkEnd w:id="6"/>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0" w:lineRule="exact"/>
        <w:rPr>
          <w:sz w:val="20"/>
          <w:szCs w:val="20"/>
          <w:color w:val="auto"/>
        </w:rPr>
      </w:pPr>
    </w:p>
    <w:p>
      <w:pPr>
        <w:ind w:left="1380" w:right="1419" w:firstLine="273"/>
        <w:spacing w:after="0" w:line="263"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380" w:right="1579" w:firstLine="273"/>
        <w:spacing w:after="0" w:line="266" w:lineRule="auto"/>
        <w:rPr>
          <w:sz w:val="20"/>
          <w:szCs w:val="20"/>
          <w:color w:val="auto"/>
        </w:rPr>
      </w:pPr>
      <w:r>
        <w:rPr>
          <w:rFonts w:ascii="Times New Roman" w:cs="Times New Roman" w:eastAsia="Times New Roman" w:hAnsi="Times New Roman"/>
          <w:sz w:val="14"/>
          <w:szCs w:val="14"/>
          <w:color w:val="auto"/>
        </w:rPr>
        <w:t>Our web site address is www.jcap.com. The information on our web site, however, is not, and should not be deemed to be, a part of this prospectus.</w:t>
      </w:r>
    </w:p>
    <w:p>
      <w:pPr>
        <w:spacing w:after="0" w:line="95" w:lineRule="exact"/>
        <w:rPr>
          <w:sz w:val="20"/>
          <w:szCs w:val="20"/>
          <w:color w:val="auto"/>
        </w:rPr>
      </w:pPr>
    </w:p>
    <w:p>
      <w:pPr>
        <w:ind w:left="1380" w:right="1519" w:firstLine="273"/>
        <w:spacing w:after="0" w:line="257"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0" w:lineRule="exact"/>
        <w:rPr>
          <w:sz w:val="20"/>
          <w:szCs w:val="20"/>
          <w:color w:val="auto"/>
        </w:rPr>
      </w:pPr>
    </w:p>
    <w:p>
      <w:pPr>
        <w:ind w:left="1380" w:right="1419" w:firstLine="273"/>
        <w:spacing w:after="0" w:line="259"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61" w:lineRule="exact"/>
        <w:rPr>
          <w:sz w:val="20"/>
          <w:szCs w:val="20"/>
          <w:color w:val="auto"/>
        </w:rPr>
      </w:pPr>
    </w:p>
    <w:p>
      <w:pPr>
        <w:ind w:left="1380" w:right="1459" w:firstLine="273"/>
        <w:spacing w:after="0" w:line="282"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53" w:lineRule="exact"/>
        <w:rPr>
          <w:sz w:val="20"/>
          <w:szCs w:val="20"/>
          <w:color w:val="auto"/>
        </w:rPr>
      </w:pPr>
    </w:p>
    <w:p>
      <w:pPr>
        <w:ind w:left="1800" w:right="1719" w:hanging="141"/>
        <w:spacing w:after="0" w:line="266" w:lineRule="auto"/>
        <w:tabs>
          <w:tab w:leader="none" w:pos="1800" w:val="left"/>
        </w:tabs>
        <w:numPr>
          <w:ilvl w:val="0"/>
          <w:numId w:val="2"/>
        </w:numPr>
        <w:rPr>
          <w:rFonts w:ascii="Times New Roman" w:cs="Times New Roman" w:eastAsia="Times New Roman" w:hAnsi="Times New Roman"/>
          <w:sz w:val="14"/>
          <w:szCs w:val="14"/>
          <w:u w:val="single" w:color="auto"/>
          <w:color w:val="0000EE"/>
        </w:rPr>
      </w:pPr>
      <w:hyperlink r:id="rId25">
        <w:r>
          <w:rPr>
            <w:rFonts w:ascii="Times New Roman" w:cs="Times New Roman" w:eastAsia="Times New Roman" w:hAnsi="Times New Roman"/>
            <w:sz w:val="14"/>
            <w:szCs w:val="14"/>
            <w:u w:val="single" w:color="auto"/>
            <w:color w:val="0000EE"/>
          </w:rPr>
          <w:t>Our Annual Report on Form 10-K for the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25">
        <w:r>
          <w:rPr>
            <w:rFonts w:ascii="Times New Roman" w:cs="Times New Roman" w:eastAsia="Times New Roman" w:hAnsi="Times New Roman"/>
            <w:sz w:val="14"/>
            <w:szCs w:val="14"/>
            <w:u w:val="single" w:color="auto"/>
            <w:color w:val="0000EE"/>
          </w:rPr>
          <w:t>March 13, 2026.</w:t>
        </w:r>
      </w:hyperlink>
    </w:p>
    <w:p>
      <w:pPr>
        <w:spacing w:after="0" w:line="63" w:lineRule="exact"/>
        <w:rPr>
          <w:rFonts w:ascii="Times New Roman" w:cs="Times New Roman" w:eastAsia="Times New Roman" w:hAnsi="Times New Roman"/>
          <w:sz w:val="14"/>
          <w:szCs w:val="14"/>
          <w:u w:val="single" w:color="auto"/>
          <w:color w:val="0000EE"/>
        </w:rPr>
      </w:pPr>
    </w:p>
    <w:p>
      <w:pPr>
        <w:ind w:left="1800" w:right="1539" w:hanging="141"/>
        <w:spacing w:after="0" w:line="266"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26">
        <w:r>
          <w:rPr>
            <w:rFonts w:ascii="Times New Roman" w:cs="Times New Roman" w:eastAsia="Times New Roman" w:hAnsi="Times New Roman"/>
            <w:sz w:val="14"/>
            <w:szCs w:val="14"/>
            <w:u w:val="single" w:color="auto"/>
            <w:color w:val="0000EE"/>
          </w:rPr>
          <w:t>Definitive Proxy Statement on Schedule 14A, filed with the SEC on April 21, 2026</w:t>
        </w:r>
      </w:hyperlink>
      <w:r>
        <w:rPr>
          <w:rFonts w:ascii="Times New Roman" w:cs="Times New Roman" w:eastAsia="Times New Roman" w:hAnsi="Times New Roman"/>
          <w:sz w:val="14"/>
          <w:szCs w:val="14"/>
          <w:color w:val="auto"/>
        </w:rPr>
        <w:t>.</w:t>
      </w:r>
    </w:p>
    <w:p>
      <w:pPr>
        <w:spacing w:after="0" w:line="63" w:lineRule="exact"/>
        <w:rPr>
          <w:rFonts w:ascii="Times New Roman" w:cs="Times New Roman" w:eastAsia="Times New Roman" w:hAnsi="Times New Roman"/>
          <w:sz w:val="14"/>
          <w:szCs w:val="14"/>
          <w:color w:val="auto"/>
        </w:rPr>
      </w:pPr>
    </w:p>
    <w:p>
      <w:pPr>
        <w:ind w:left="1800" w:right="1639" w:hanging="141"/>
        <w:spacing w:after="0" w:line="266" w:lineRule="auto"/>
        <w:tabs>
          <w:tab w:leader="none" w:pos="1800" w:val="left"/>
        </w:tabs>
        <w:numPr>
          <w:ilvl w:val="0"/>
          <w:numId w:val="2"/>
        </w:numPr>
        <w:rPr>
          <w:rFonts w:ascii="Times New Roman" w:cs="Times New Roman" w:eastAsia="Times New Roman" w:hAnsi="Times New Roman"/>
          <w:sz w:val="14"/>
          <w:szCs w:val="14"/>
          <w:u w:val="single" w:color="auto"/>
          <w:color w:val="0000EE"/>
        </w:rPr>
      </w:pPr>
      <w:hyperlink r:id="rId27">
        <w:r>
          <w:rPr>
            <w:rFonts w:ascii="Times New Roman" w:cs="Times New Roman" w:eastAsia="Times New Roman" w:hAnsi="Times New Roman"/>
            <w:sz w:val="14"/>
            <w:szCs w:val="14"/>
            <w:u w:val="single" w:color="auto"/>
            <w:color w:val="0000EE"/>
          </w:rPr>
          <w:t>Our Quarterly Report on Form 10-Q for the quarter ended March 31, 2026, filed with the SEC on</w:t>
        </w:r>
      </w:hyperlink>
      <w:r>
        <w:rPr>
          <w:rFonts w:ascii="Times New Roman" w:cs="Times New Roman" w:eastAsia="Times New Roman" w:hAnsi="Times New Roman"/>
          <w:sz w:val="14"/>
          <w:szCs w:val="14"/>
          <w:u w:val="single" w:color="auto"/>
          <w:color w:val="0000EE"/>
        </w:rPr>
        <w:t xml:space="preserve"> </w:t>
      </w:r>
      <w:hyperlink r:id="rId27">
        <w:r>
          <w:rPr>
            <w:rFonts w:ascii="Times New Roman" w:cs="Times New Roman" w:eastAsia="Times New Roman" w:hAnsi="Times New Roman"/>
            <w:sz w:val="14"/>
            <w:szCs w:val="14"/>
            <w:u w:val="single" w:color="auto"/>
            <w:color w:val="0000EE"/>
          </w:rPr>
          <w:t>May 14, 2026.</w:t>
        </w:r>
      </w:hyperlink>
    </w:p>
    <w:p>
      <w:pPr>
        <w:spacing w:after="0" w:line="53" w:lineRule="exact"/>
        <w:rPr>
          <w:rFonts w:ascii="Times New Roman" w:cs="Times New Roman" w:eastAsia="Times New Roman" w:hAnsi="Times New Roman"/>
          <w:sz w:val="14"/>
          <w:szCs w:val="14"/>
          <w:u w:val="single" w:color="auto"/>
          <w:color w:val="0000EE"/>
        </w:rPr>
      </w:pPr>
    </w:p>
    <w:p>
      <w:pPr>
        <w:ind w:left="1800" w:right="1479" w:hanging="141"/>
        <w:spacing w:after="0" w:line="266" w:lineRule="auto"/>
        <w:tabs>
          <w:tab w:leader="none" w:pos="1800" w:val="left"/>
        </w:tabs>
        <w:numPr>
          <w:ilvl w:val="0"/>
          <w:numId w:val="2"/>
        </w:numPr>
        <w:rPr>
          <w:rFonts w:ascii="Times New Roman" w:cs="Times New Roman" w:eastAsia="Times New Roman" w:hAnsi="Times New Roman"/>
          <w:sz w:val="14"/>
          <w:szCs w:val="14"/>
          <w:color w:val="0000EE"/>
        </w:rPr>
      </w:pPr>
      <w:hyperlink r:id="rId28">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23,</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29">
        <w:r>
          <w:rPr>
            <w:rFonts w:ascii="Times New Roman" w:cs="Times New Roman" w:eastAsia="Times New Roman" w:hAnsi="Times New Roman"/>
            <w:sz w:val="14"/>
            <w:szCs w:val="14"/>
            <w:u w:val="single" w:color="auto"/>
            <w:color w:val="0000EE"/>
          </w:rPr>
          <w:t xml:space="preserve">June 8, 2026 </w:t>
        </w:r>
      </w:hyperlink>
      <w:hyperlink r:id="rId28">
        <w:r>
          <w:rPr>
            <w:rFonts w:ascii="Times New Roman" w:cs="Times New Roman" w:eastAsia="Times New Roman" w:hAnsi="Times New Roman"/>
            <w:sz w:val="14"/>
            <w:szCs w:val="14"/>
            <w:color w:val="000000"/>
          </w:rPr>
          <w:t>(to the extent such reports are filed, not furnished).</w:t>
        </w:r>
      </w:hyperlink>
    </w:p>
    <w:p>
      <w:pPr>
        <w:spacing w:after="0" w:line="63" w:lineRule="exact"/>
        <w:rPr>
          <w:rFonts w:ascii="Times New Roman" w:cs="Times New Roman" w:eastAsia="Times New Roman" w:hAnsi="Times New Roman"/>
          <w:sz w:val="14"/>
          <w:szCs w:val="14"/>
          <w:color w:val="0000EE"/>
        </w:rPr>
      </w:pPr>
    </w:p>
    <w:p>
      <w:pPr>
        <w:ind w:left="1800" w:right="1519" w:hanging="141"/>
        <w:spacing w:after="0" w:line="255"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0">
        <w:r>
          <w:rPr>
            <w:rFonts w:ascii="Times New Roman" w:cs="Times New Roman" w:eastAsia="Times New Roman" w:hAnsi="Times New Roman"/>
            <w:sz w:val="14"/>
            <w:szCs w:val="14"/>
            <w:u w:val="single" w:color="auto"/>
            <w:color w:val="0000EE"/>
          </w:rPr>
          <w:t>Exhibit 4.9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filed with the SEC on March 13, 2026 and any amendment or report filed with the SEC for the purpose of updating the description.</w:t>
      </w:r>
    </w:p>
    <w:p>
      <w:pPr>
        <w:spacing w:after="0" w:line="92" w:lineRule="exact"/>
        <w:rPr>
          <w:rFonts w:ascii="Times New Roman" w:cs="Times New Roman" w:eastAsia="Times New Roman" w:hAnsi="Times New Roman"/>
          <w:sz w:val="14"/>
          <w:szCs w:val="14"/>
          <w:color w:val="0000EE"/>
        </w:rPr>
      </w:pPr>
    </w:p>
    <w:p>
      <w:pPr>
        <w:ind w:left="1380" w:right="1459" w:firstLine="273"/>
        <w:spacing w:after="0" w:line="256"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4"/>
          <w:szCs w:val="14"/>
          <w:color w:val="0000EE"/>
        </w:rPr>
      </w:pPr>
    </w:p>
    <w:p>
      <w:pPr>
        <w:spacing w:after="0" w:line="257"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261620</wp:posOffset>
            </wp:positionH>
            <wp:positionV relativeFrom="paragraph">
              <wp:posOffset>193040</wp:posOffset>
            </wp:positionV>
            <wp:extent cx="51974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7" w:name="page8"/>
    <w:bookmarkEnd w:id="7"/>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579" w:firstLine="273"/>
        <w:spacing w:after="0" w:line="266"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Jefferson Capital, Inc.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600 South Highway 169, Suite 1575</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Minneapolis, Minnesota 55426</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(320) 229-8505</w:t>
      </w:r>
    </w:p>
    <w:p>
      <w:pPr>
        <w:spacing w:after="0" w:line="104" w:lineRule="exact"/>
        <w:rPr>
          <w:sz w:val="20"/>
          <w:szCs w:val="20"/>
          <w:color w:val="auto"/>
        </w:rPr>
      </w:pPr>
    </w:p>
    <w:p>
      <w:pPr>
        <w:ind w:left="1380" w:right="2059" w:firstLine="273"/>
        <w:spacing w:after="0" w:line="266"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 w:name="page9"/>
    <w:bookmarkEnd w:id="8"/>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0" w:lineRule="exact"/>
        <w:rPr>
          <w:sz w:val="20"/>
          <w:szCs w:val="20"/>
          <w:color w:val="auto"/>
        </w:rPr>
      </w:pPr>
    </w:p>
    <w:p>
      <w:pPr>
        <w:ind w:left="1380" w:right="1419" w:firstLine="273"/>
        <w:spacing w:after="0" w:line="247" w:lineRule="auto"/>
        <w:rPr>
          <w:sz w:val="20"/>
          <w:szCs w:val="20"/>
          <w:color w:val="auto"/>
        </w:rPr>
      </w:pPr>
      <w:r>
        <w:rPr>
          <w:rFonts w:ascii="Times New Roman" w:cs="Times New Roman" w:eastAsia="Times New Roman" w:hAnsi="Times New Roman"/>
          <w:sz w:val="14"/>
          <w:szCs w:val="14"/>
          <w:color w:val="auto"/>
        </w:rPr>
        <w:t>Jefferson Capital, Inc. and its subsidiaries in the United States, Canada, the United Kingdom and Latin America provide debt recovery solutions and other related services across a broad range of consumer receivables, including credit card, secured and unsecured automotive, utilities, telecom, and other receivables. We primarily purchase portfolios of consumer receivables at deep discounts to face value and manage them by working with individuals as they repay their obligations and work toward financial recovery. Previously charged-off receivables include receivables subject to bankruptcy proceedings. We also provide debt servicing and other portfolio management services to credit originators for non-performing loans. Through credit card acquisition programs, we earn credit card revenue. All deployments are purchased from independent third parties.</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0" w:lineRule="exact"/>
        <w:rPr>
          <w:sz w:val="20"/>
          <w:szCs w:val="20"/>
          <w:color w:val="auto"/>
        </w:rPr>
      </w:pPr>
    </w:p>
    <w:p>
      <w:pPr>
        <w:ind w:left="1380" w:right="1559" w:firstLine="273"/>
        <w:spacing w:after="0" w:line="249" w:lineRule="auto"/>
        <w:rPr>
          <w:sz w:val="20"/>
          <w:szCs w:val="20"/>
          <w:color w:val="auto"/>
        </w:rPr>
      </w:pPr>
      <w:r>
        <w:rPr>
          <w:rFonts w:ascii="Times New Roman" w:cs="Times New Roman" w:eastAsia="Times New Roman" w:hAnsi="Times New Roman"/>
          <w:sz w:val="14"/>
          <w:szCs w:val="14"/>
          <w:color w:val="auto"/>
        </w:rPr>
        <w:t>We were initially formed on November 12, 2024 as a Delaware corporation. Our principal executive offices are located at 600 South Highway 169, Suite 1575, Minneapolis, Minnesota 55426, and our telephone number is (320) 229-8505. Our corporate website address is www.jcap.com.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 w:name="page10"/>
    <w:bookmarkEnd w:id="9"/>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80" w:right="1399" w:firstLine="273"/>
        <w:spacing w:after="0" w:line="246"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0" w:name="page11"/>
    <w:bookmarkEnd w:id="10"/>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0" w:lineRule="exact"/>
        <w:rPr>
          <w:sz w:val="20"/>
          <w:szCs w:val="20"/>
          <w:color w:val="auto"/>
        </w:rPr>
      </w:pPr>
    </w:p>
    <w:p>
      <w:pPr>
        <w:ind w:left="1380" w:right="1819" w:firstLine="273"/>
        <w:spacing w:after="0" w:line="255"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of the proceeds from the sale of common stock being offered by any of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1" w:name="page12"/>
    <w:bookmarkEnd w:id="11"/>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16" w:lineRule="exact"/>
        <w:rPr>
          <w:sz w:val="20"/>
          <w:szCs w:val="20"/>
          <w:color w:val="auto"/>
        </w:rPr>
      </w:pPr>
    </w:p>
    <w:p>
      <w:pPr>
        <w:ind w:left="1380" w:right="1499" w:firstLine="273"/>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3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authorizes capital stock consisting of:</w:t>
      </w:r>
    </w:p>
    <w:p>
      <w:pPr>
        <w:spacing w:after="0" w:line="85" w:lineRule="exact"/>
        <w:rPr>
          <w:sz w:val="20"/>
          <w:szCs w:val="20"/>
          <w:color w:val="auto"/>
        </w:rPr>
      </w:pPr>
    </w:p>
    <w:p>
      <w:pPr>
        <w:ind w:left="1800" w:hanging="141"/>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330,000,000 shares of common stock, par value $0.0001 per share; and</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 shares of preferred stock, par value $0.0001 per share.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All shares of our common stock outstanding are fully paid and non-assessable.</w:t>
      </w:r>
    </w:p>
    <w:p>
      <w:pPr>
        <w:spacing w:after="0" w:line="116" w:lineRule="exact"/>
        <w:rPr>
          <w:sz w:val="20"/>
          <w:szCs w:val="20"/>
          <w:color w:val="auto"/>
        </w:rPr>
      </w:pPr>
    </w:p>
    <w:p>
      <w:pPr>
        <w:ind w:left="1380" w:right="1459" w:firstLine="273"/>
        <w:spacing w:after="0" w:line="251" w:lineRule="auto"/>
        <w:rPr>
          <w:sz w:val="20"/>
          <w:szCs w:val="20"/>
          <w:color w:val="auto"/>
        </w:rPr>
      </w:pPr>
      <w:r>
        <w:rPr>
          <w:rFonts w:ascii="Times New Roman" w:cs="Times New Roman" w:eastAsia="Times New Roman" w:hAnsi="Times New Roman"/>
          <w:sz w:val="14"/>
          <w:szCs w:val="14"/>
          <w:color w:val="auto"/>
        </w:rPr>
        <w:t>The following summary describes the material provisions of our capital stock. We urge you to read our amended and restated certificate of incorporation and our amended and restated bylaws.</w:t>
      </w:r>
    </w:p>
    <w:p>
      <w:pPr>
        <w:spacing w:after="0" w:line="84" w:lineRule="exact"/>
        <w:rPr>
          <w:sz w:val="20"/>
          <w:szCs w:val="20"/>
          <w:color w:val="auto"/>
        </w:rPr>
      </w:pPr>
    </w:p>
    <w:p>
      <w:pPr>
        <w:ind w:left="1380" w:right="1419" w:firstLine="273"/>
        <w:spacing w:after="0" w:line="241"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0" w:lineRule="exact"/>
        <w:rPr>
          <w:sz w:val="20"/>
          <w:szCs w:val="20"/>
          <w:color w:val="auto"/>
        </w:rPr>
      </w:pPr>
    </w:p>
    <w:p>
      <w:pPr>
        <w:ind w:left="1380" w:right="1519" w:firstLine="273"/>
        <w:spacing w:after="0" w:line="239"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95" w:lineRule="exact"/>
        <w:rPr>
          <w:sz w:val="20"/>
          <w:szCs w:val="20"/>
          <w:color w:val="auto"/>
        </w:rPr>
      </w:pPr>
    </w:p>
    <w:p>
      <w:pPr>
        <w:ind w:left="1380" w:right="1439" w:firstLine="273"/>
        <w:spacing w:after="0" w:line="248"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86" w:lineRule="exact"/>
        <w:rPr>
          <w:sz w:val="20"/>
          <w:szCs w:val="20"/>
          <w:color w:val="auto"/>
        </w:rPr>
      </w:pPr>
    </w:p>
    <w:p>
      <w:pPr>
        <w:ind w:left="1380" w:right="1419" w:firstLine="273"/>
        <w:spacing w:after="0" w:line="239" w:lineRule="auto"/>
        <w:rPr>
          <w:sz w:val="20"/>
          <w:szCs w:val="20"/>
          <w:color w:val="auto"/>
        </w:rPr>
      </w:pPr>
      <w:r>
        <w:rPr>
          <w:rFonts w:ascii="Times New Roman" w:cs="Times New Roman" w:eastAsia="Times New Roman" w:hAnsi="Times New Roman"/>
          <w:sz w:val="14"/>
          <w:szCs w:val="14"/>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after the payment of all of our debts and other liabilities, subject to the prior rights of any preferred stock then outstanding.</w:t>
      </w:r>
    </w:p>
    <w:p>
      <w:pPr>
        <w:spacing w:after="0" w:line="13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0" w:lineRule="exact"/>
        <w:rPr>
          <w:sz w:val="20"/>
          <w:szCs w:val="20"/>
          <w:color w:val="auto"/>
        </w:rPr>
      </w:pPr>
    </w:p>
    <w:p>
      <w:pPr>
        <w:ind w:left="1380" w:right="1419" w:firstLine="273"/>
        <w:spacing w:after="0" w:line="247"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50,000,000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payments upon our liquidation. In addition, the issuance of preferred stock could have the effect of delaying, deferring or preventing a change in control of our company or other corporate action.</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10" w:lineRule="exact"/>
        <w:rPr>
          <w:sz w:val="20"/>
          <w:szCs w:val="20"/>
          <w:color w:val="auto"/>
        </w:rPr>
      </w:pPr>
    </w:p>
    <w:p>
      <w:pPr>
        <w:ind w:left="1380" w:right="1419" w:firstLine="273"/>
        <w:spacing w:after="0" w:line="266" w:lineRule="auto"/>
        <w:rPr>
          <w:sz w:val="20"/>
          <w:szCs w:val="20"/>
          <w:color w:val="auto"/>
        </w:rPr>
      </w:pPr>
      <w:r>
        <w:rPr>
          <w:rFonts w:ascii="Times New Roman" w:cs="Times New Roman" w:eastAsia="Times New Roman" w:hAnsi="Times New Roman"/>
          <w:sz w:val="14"/>
          <w:szCs w:val="14"/>
          <w:color w:val="auto"/>
        </w:rPr>
        <w:t>Declaration and payment of any dividend will be subject to the discretion of our board of directors. The time and amount of dividends will be dependent upon our business prospects, results of operations,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2" w:name="page13"/>
    <w:bookmarkEnd w:id="12"/>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99"/>
        <w:spacing w:after="0" w:line="241" w:lineRule="auto"/>
        <w:rPr>
          <w:sz w:val="20"/>
          <w:szCs w:val="20"/>
          <w:color w:val="auto"/>
        </w:rPr>
      </w:pPr>
      <w:r>
        <w:rPr>
          <w:rFonts w:ascii="Times New Roman" w:cs="Times New Roman" w:eastAsia="Times New Roman" w:hAnsi="Times New Roman"/>
          <w:sz w:val="14"/>
          <w:szCs w:val="14"/>
          <w:color w:val="auto"/>
        </w:rPr>
        <w:t>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10" w:lineRule="exact"/>
        <w:rPr>
          <w:sz w:val="20"/>
          <w:szCs w:val="20"/>
          <w:color w:val="auto"/>
        </w:rPr>
      </w:pPr>
    </w:p>
    <w:p>
      <w:pPr>
        <w:ind w:left="1380" w:right="1479" w:firstLine="273"/>
        <w:spacing w:after="0" w:line="23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110" w:lineRule="exact"/>
        <w:rPr>
          <w:sz w:val="20"/>
          <w:szCs w:val="20"/>
          <w:color w:val="auto"/>
        </w:rPr>
      </w:pPr>
    </w:p>
    <w:p>
      <w:pPr>
        <w:ind w:left="1380" w:right="1559" w:firstLine="273"/>
        <w:spacing w:after="0" w:line="239" w:lineRule="auto"/>
        <w:rPr>
          <w:sz w:val="20"/>
          <w:szCs w:val="20"/>
          <w:color w:val="auto"/>
        </w:rPr>
      </w:pPr>
      <w:r>
        <w:rPr>
          <w:rFonts w:ascii="Times New Roman" w:cs="Times New Roman" w:eastAsia="Times New Roman" w:hAnsi="Times New Roman"/>
          <w:sz w:val="14"/>
          <w:szCs w:val="14"/>
          <w:color w:val="auto"/>
        </w:rPr>
        <w:t>The authorized but unissued shares of our common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could make more difficult or discourage an attempt to obtain control of us by means of a proxy contest, tender offer, merger or otherwise.</w:t>
      </w:r>
    </w:p>
    <w:p>
      <w:pPr>
        <w:spacing w:after="0" w:line="95" w:lineRule="exact"/>
        <w:rPr>
          <w:sz w:val="20"/>
          <w:szCs w:val="20"/>
          <w:color w:val="auto"/>
        </w:rPr>
      </w:pPr>
    </w:p>
    <w:p>
      <w:pPr>
        <w:ind w:left="1380" w:right="1499" w:firstLine="273"/>
        <w:spacing w:after="0" w:line="239" w:lineRule="auto"/>
        <w:rPr>
          <w:sz w:val="20"/>
          <w:szCs w:val="20"/>
          <w:color w:val="auto"/>
        </w:rPr>
      </w:pPr>
      <w:r>
        <w:rPr>
          <w:rFonts w:ascii="Times New Roman" w:cs="Times New Roman" w:eastAsia="Times New Roman" w:hAnsi="Times New Roman"/>
          <w:sz w:val="14"/>
          <w:szCs w:val="14"/>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91" w:lineRule="exact"/>
        <w:rPr>
          <w:sz w:val="20"/>
          <w:szCs w:val="20"/>
          <w:color w:val="auto"/>
        </w:rPr>
      </w:pPr>
    </w:p>
    <w:p>
      <w:pPr>
        <w:ind w:left="1380" w:right="1399" w:firstLine="273"/>
        <w:spacing w:after="0" w:line="239"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4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20" w:lineRule="exact"/>
        <w:rPr>
          <w:sz w:val="20"/>
          <w:szCs w:val="20"/>
          <w:color w:val="auto"/>
        </w:rPr>
      </w:pPr>
    </w:p>
    <w:p>
      <w:pPr>
        <w:ind w:left="1380" w:right="1459" w:firstLine="273"/>
        <w:spacing w:after="0" w:line="23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board of directors is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Special Meeting of Stockholders</w:t>
      </w:r>
    </w:p>
    <w:p>
      <w:pPr>
        <w:spacing w:after="0" w:line="11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amended and restated certificate of incorporation provides that from and after such time as</w:t>
      </w:r>
    </w:p>
    <w:p>
      <w:pPr>
        <w:spacing w:after="0" w:line="15" w:lineRule="exact"/>
        <w:rPr>
          <w:sz w:val="20"/>
          <w:szCs w:val="20"/>
          <w:color w:val="auto"/>
        </w:rPr>
      </w:pPr>
    </w:p>
    <w:p>
      <w:pPr>
        <w:ind w:left="1380" w:right="1459"/>
        <w:spacing w:after="0" w:line="234" w:lineRule="auto"/>
        <w:rPr>
          <w:sz w:val="20"/>
          <w:szCs w:val="20"/>
          <w:color w:val="auto"/>
        </w:rPr>
      </w:pPr>
      <w:r>
        <w:rPr>
          <w:rFonts w:ascii="Times New Roman" w:cs="Times New Roman" w:eastAsia="Times New Roman" w:hAnsi="Times New Roman"/>
          <w:sz w:val="14"/>
          <w:szCs w:val="14"/>
          <w:color w:val="auto"/>
        </w:rPr>
        <w:t>investment funds affiliated with or advised by J.C. Flowers &amp; Co. LLC (together with their affiliates, the “JCF Stockholders”) cease to own (directly or indirectly) at least 40% of the shares of our outstanding common stock (the “Trigger Date”), our stockholders will not be able to take action by written consent for any matter and may only take action at annual or special meetings. As a result, a holder controlling a majority of our capital stock would not be able to amend our bylaws or remove directors without holding a meeting of our stockholders called in accordance with our bylaws, unless previously approved by our board of directors. Our amended and restated certificate of incorporation further provides that special meetings of our stockholders may be called only by the board of directors, the Chairman of our board of directors, our chief executive officer, our president or another officer selected by a majority of our board of directors;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3" w:name="page14"/>
    <w:bookmarkEnd w:id="13"/>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39"/>
        <w:spacing w:after="0"/>
        <w:rPr>
          <w:sz w:val="20"/>
          <w:szCs w:val="20"/>
          <w:color w:val="auto"/>
        </w:rPr>
      </w:pPr>
      <w:r>
        <w:rPr>
          <w:rFonts w:ascii="Times New Roman" w:cs="Times New Roman" w:eastAsia="Times New Roman" w:hAnsi="Times New Roman"/>
          <w:sz w:val="14"/>
          <w:szCs w:val="14"/>
          <w:color w:val="auto"/>
        </w:rPr>
        <w:t>provided, however, that prior to the Trigger Date, special meetings of the stockholders for any purpose may also be called by or at the direction of the board of directors or the Chairman of the board of directors at the request of the JCF Stockholders,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2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120" w:lineRule="exact"/>
        <w:rPr>
          <w:sz w:val="20"/>
          <w:szCs w:val="20"/>
          <w:color w:val="auto"/>
        </w:rPr>
      </w:pPr>
    </w:p>
    <w:p>
      <w:pPr>
        <w:ind w:left="1380" w:right="1399" w:firstLine="273"/>
        <w:spacing w:after="0" w:line="235" w:lineRule="auto"/>
        <w:rPr>
          <w:sz w:val="20"/>
          <w:szCs w:val="20"/>
          <w:color w:val="auto"/>
        </w:rPr>
      </w:pPr>
      <w:r>
        <w:rPr>
          <w:rFonts w:ascii="Times New Roman" w:cs="Times New Roman" w:eastAsia="Times New Roman" w:hAnsi="Times New Roman"/>
          <w:sz w:val="14"/>
          <w:szCs w:val="14"/>
          <w:color w:val="auto"/>
        </w:rPr>
        <w:t>In addition, our amended and restated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The board of directors may postpone, reschedule or cancel any annual meeting of stockholders previously scheduled by the board of directors. Prior to the Trigger Date, the JCF Stockholders shall not be subject to the notice requirements with respect to the proposal of any business (other than with respect to the nomination of directors) at any annual or special meeting of the stockholders. For so long as the JCF Stockholders are entitled to designate a director for election pursuant to that certain Stockholders Agreement, dated as of June 25, 2025, by and among Jefferson Capital, Inc. and the stockholders named therein (as amended, restated, amended and restated, supplemented or otherwise modified from time to time, the “Stockholders Agreement”), the JCF Stockholders also shall not be subject to the notice requirements with respect to the nomination of directors.</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120" w:lineRule="exact"/>
        <w:rPr>
          <w:sz w:val="20"/>
          <w:szCs w:val="20"/>
          <w:color w:val="auto"/>
        </w:rPr>
      </w:pPr>
    </w:p>
    <w:p>
      <w:pPr>
        <w:ind w:left="1380" w:right="1419" w:firstLine="273"/>
        <w:spacing w:after="0" w:line="237" w:lineRule="auto"/>
        <w:rPr>
          <w:sz w:val="20"/>
          <w:szCs w:val="20"/>
          <w:color w:val="auto"/>
        </w:rPr>
      </w:pPr>
      <w:r>
        <w:rPr>
          <w:rFonts w:ascii="Times New Roman" w:cs="Times New Roman" w:eastAsia="Times New Roman" w:hAnsi="Times New Roman"/>
          <w:sz w:val="14"/>
          <w:szCs w:val="14"/>
          <w:color w:val="auto"/>
        </w:rPr>
        <w:t>The Delaware General Corporation Law (“DGCL”) provides generally that the affirmative vote of the holders of a majority in voting power of the shares entitled to vote is required to amend a corporation’s certificate of incorporation, unless a corporation’s certificate of incorporation requires a greater percentage. Our amended and restated bylaws may be amended or repealed by a majority vote of our board of directors or by the affirmative vote of the holders a majority of the votes which all our stockholders would be eligible to cast in an election of directors.</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10" w:lineRule="exact"/>
        <w:rPr>
          <w:sz w:val="20"/>
          <w:szCs w:val="20"/>
          <w:color w:val="auto"/>
        </w:rPr>
      </w:pPr>
    </w:p>
    <w:p>
      <w:pPr>
        <w:ind w:left="1380" w:right="1439" w:firstLine="273"/>
        <w:spacing w:after="0" w:line="247" w:lineRule="auto"/>
        <w:rPr>
          <w:sz w:val="20"/>
          <w:szCs w:val="20"/>
          <w:color w:val="auto"/>
        </w:rPr>
      </w:pPr>
      <w:r>
        <w:rPr>
          <w:rFonts w:ascii="Times New Roman" w:cs="Times New Roman" w:eastAsia="Times New Roman" w:hAnsi="Times New Roman"/>
          <w:sz w:val="14"/>
          <w:szCs w:val="14"/>
          <w:color w:val="auto"/>
        </w:rPr>
        <w:t>Prior to the Trigger Date, any director may be removed at any time, with or without cause, by the holders of at least a majority of the voting power of the outstanding shares of our common stock entitled to vote on the election and removal of directors in the manner permitted by our amended and restated certificate of incorporation. In all other cases and from and after the Trigger Date, our amended and restated certificate of incorporation provides that, except in the case of the removal of a director designated by the JCF Stockholders or their permitted transferees, which removal shall be only take place in accordance with the terms of the Stockholders Agreement, directors may only be removed from our board of directors for cause and only by the affirmative vote of the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the common stock outstanding and entitled to vote on the election and removal of directors. Except in the case of a vacancy arising with respect to a director designated by the JCF Stockholders, which vacancy shall be filled in accordance with the terms of the Stockholders Agreement, our board of directors has the sole power to fill any vacancy on our board of directors, whether such vacancy occurs as a result of an increase in the number of directors or otherwise.</w:t>
      </w:r>
    </w:p>
    <w:p>
      <w:pPr>
        <w:spacing w:after="0" w:line="3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Supermajority Provisions</w:t>
      </w:r>
    </w:p>
    <w:p>
      <w:pPr>
        <w:spacing w:after="0" w:line="120" w:lineRule="exact"/>
        <w:rPr>
          <w:sz w:val="20"/>
          <w:szCs w:val="20"/>
          <w:color w:val="auto"/>
        </w:rPr>
      </w:pPr>
    </w:p>
    <w:p>
      <w:pPr>
        <w:ind w:left="1380" w:right="1539" w:firstLine="273"/>
        <w:spacing w:after="0" w:line="266"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provide that the board of directors is expressly authorized to adopt, make, alter, amend or repeal our bylaws. From</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193040</wp:posOffset>
            </wp:positionV>
            <wp:extent cx="51974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4" w:name="page15"/>
    <w:bookmarkEnd w:id="14"/>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39"/>
        <w:spacing w:after="0" w:line="222" w:lineRule="auto"/>
        <w:rPr>
          <w:sz w:val="20"/>
          <w:szCs w:val="20"/>
          <w:color w:val="auto"/>
        </w:rPr>
      </w:pPr>
      <w:r>
        <w:rPr>
          <w:rFonts w:ascii="Times New Roman" w:cs="Times New Roman" w:eastAsia="Times New Roman" w:hAnsi="Times New Roman"/>
          <w:sz w:val="14"/>
          <w:szCs w:val="14"/>
          <w:color w:val="auto"/>
        </w:rPr>
        <w:t>and after the Trigger Date, any adoption, alteration, amendment or repeal of our bylaws by our stockholders will require the affirmative vote of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our outstanding capital</w:t>
      </w:r>
    </w:p>
    <w:p>
      <w:pPr>
        <w:spacing w:after="0" w:line="2" w:lineRule="exact"/>
        <w:rPr>
          <w:sz w:val="20"/>
          <w:szCs w:val="20"/>
          <w:color w:val="auto"/>
        </w:rPr>
      </w:pPr>
    </w:p>
    <w:p>
      <w:pPr>
        <w:ind w:left="1380" w:right="1459"/>
        <w:spacing w:after="0" w:line="228" w:lineRule="auto"/>
        <w:rPr>
          <w:sz w:val="20"/>
          <w:szCs w:val="20"/>
          <w:color w:val="auto"/>
        </w:rPr>
      </w:pPr>
      <w:r>
        <w:rPr>
          <w:rFonts w:ascii="Times New Roman" w:cs="Times New Roman" w:eastAsia="Times New Roman" w:hAnsi="Times New Roman"/>
          <w:sz w:val="14"/>
          <w:szCs w:val="14"/>
          <w:color w:val="auto"/>
        </w:rPr>
        <w:t>stock entitled to vote thereon. In addition, our amended and restated certificate of incorporation provides that from and after the Trigger Date, certain articles of the certificate of incorporation, including those relating to (i) the board size, classification, removal and vacancies, (ii) stockholder action by written consent, (iii) special meetings of stockholders, (iv) amendment of certificate and bylaws, (v) business combinations with interested stockholders, (vi) liability of directors, (vii) forum selection, and (viii) waiver of corporate opportunity, may be amended only by a vote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our outstanding capital stock entitled to vote thereon.</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20" w:lineRule="exact"/>
        <w:rPr>
          <w:sz w:val="20"/>
          <w:szCs w:val="20"/>
          <w:color w:val="auto"/>
        </w:rPr>
      </w:pPr>
    </w:p>
    <w:p>
      <w:pPr>
        <w:jc w:val="both"/>
        <w:ind w:left="1380" w:right="1439" w:firstLine="273"/>
        <w:spacing w:after="0" w:line="248" w:lineRule="auto"/>
        <w:rPr>
          <w:sz w:val="20"/>
          <w:szCs w:val="20"/>
          <w:color w:val="auto"/>
        </w:rPr>
      </w:pPr>
      <w:r>
        <w:rPr>
          <w:rFonts w:ascii="Times New Roman" w:cs="Times New Roman" w:eastAsia="Times New Roman" w:hAnsi="Times New Roman"/>
          <w:sz w:val="14"/>
          <w:szCs w:val="14"/>
          <w:color w:val="auto"/>
        </w:rPr>
        <w:t>The DGCL provides that stockholders are not entitled to the right to cumulative votes in the election of directors unless our certificate of incorporation provides otherwise. Our amended and restated certificate of incorporation does not provide for cumulative voting.</w:t>
      </w:r>
    </w:p>
    <w:p>
      <w:pPr>
        <w:spacing w:after="0" w:line="1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20" w:lineRule="exact"/>
        <w:rPr>
          <w:sz w:val="20"/>
          <w:szCs w:val="20"/>
          <w:color w:val="auto"/>
        </w:rPr>
      </w:pPr>
    </w:p>
    <w:p>
      <w:pPr>
        <w:ind w:left="1380" w:right="1419" w:firstLine="273"/>
        <w:spacing w:after="0" w:line="237" w:lineRule="auto"/>
        <w:rPr>
          <w:sz w:val="20"/>
          <w:szCs w:val="20"/>
          <w:color w:val="auto"/>
        </w:rPr>
      </w:pPr>
      <w:r>
        <w:rPr>
          <w:rFonts w:ascii="Times New Roman" w:cs="Times New Roman" w:eastAsia="Times New Roman" w:hAnsi="Times New Roman"/>
          <w:sz w:val="14"/>
          <w:szCs w:val="14"/>
          <w:color w:val="auto"/>
        </w:rPr>
        <w:t>In general, Section 203 of the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spacing w:after="0" w:line="92" w:lineRule="exact"/>
        <w:rPr>
          <w:sz w:val="20"/>
          <w:szCs w:val="20"/>
          <w:color w:val="auto"/>
        </w:rPr>
      </w:pPr>
    </w:p>
    <w:p>
      <w:pPr>
        <w:ind w:left="1380" w:right="1419" w:firstLine="273"/>
        <w:spacing w:after="0" w:line="239" w:lineRule="auto"/>
        <w:rPr>
          <w:sz w:val="20"/>
          <w:szCs w:val="20"/>
          <w:color w:val="auto"/>
        </w:rPr>
      </w:pPr>
      <w:r>
        <w:rPr>
          <w:rFonts w:ascii="Times New Roman" w:cs="Times New Roman" w:eastAsia="Times New Roman" w:hAnsi="Times New Roman"/>
          <w:sz w:val="14"/>
          <w:szCs w:val="14"/>
          <w:color w:val="auto"/>
        </w:rPr>
        <w:t>We elected in our amended and restated certificate of incorporation not to be subject to Section 203; however, our amended and restated certificate of incorporation contains provisions that have generally the same effect as Section 203. Nonetheless, our amended and restated certificate of incorporation provides that the JCF Stockholders, their affiliates and successors, and their direct and indirect transferees are not deemed “interested stockholders” for purposes of such provisions and therefore will not be subject to such provisions regardless of the percentage of our voting stock owned by them.</w:t>
      </w:r>
    </w:p>
    <w:p>
      <w:pPr>
        <w:spacing w:after="0" w:line="14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Conflicts of Interest; Corporate Opportunities</w:t>
      </w:r>
    </w:p>
    <w:p>
      <w:pPr>
        <w:spacing w:after="0" w:line="120" w:lineRule="exact"/>
        <w:rPr>
          <w:sz w:val="20"/>
          <w:szCs w:val="20"/>
          <w:color w:val="auto"/>
        </w:rPr>
      </w:pPr>
    </w:p>
    <w:p>
      <w:pPr>
        <w:ind w:left="1380" w:right="1419" w:firstLine="273"/>
        <w:spacing w:after="0" w:line="237" w:lineRule="auto"/>
        <w:rPr>
          <w:sz w:val="20"/>
          <w:szCs w:val="20"/>
          <w:color w:val="auto"/>
        </w:rPr>
      </w:pPr>
      <w:r>
        <w:rPr>
          <w:rFonts w:ascii="Times New Roman" w:cs="Times New Roman" w:eastAsia="Times New Roman" w:hAnsi="Times New Roman"/>
          <w:sz w:val="14"/>
          <w:szCs w:val="14"/>
          <w:color w:val="auto"/>
        </w:rPr>
        <w:t>In order to address potential conflicts of interest between us and the JCF Stockholders, our amended and restated certificate of incorporation contains certain provisions regulating and defining the conduct of our affairs to the extent that they may involve the JCF Stockholders and their directors, managers, officers, associated funds, employees and/or representatives and our rights, powers, duties and liabilities and those of our directors, officers, employees and stockholders in connection with our relationship with the JCF Stockholders. In general, these provisions recognize that we and the JCF Stockholders may engage in the same or similar business activities and lines of business or have an interest in the same areas of corporate opportunities and that we and the JCF Stockholders will continue to have contractual and business relations with each other, including directors, officers or employees of the JCF Stockholders serving as our directors, officers or employees.</w:t>
      </w:r>
    </w:p>
    <w:p>
      <w:pPr>
        <w:spacing w:after="0" w:line="93" w:lineRule="exact"/>
        <w:rPr>
          <w:sz w:val="20"/>
          <w:szCs w:val="20"/>
          <w:color w:val="auto"/>
        </w:rPr>
      </w:pPr>
    </w:p>
    <w:p>
      <w:pPr>
        <w:ind w:left="1380" w:right="1419" w:firstLine="273"/>
        <w:spacing w:after="0" w:line="23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JCF Stockholders have no duty to communicate information regarding a corporate opportunity to us or to refrain from engaging in the same or similar lines of business or doing business with any of our clients, customers or vendors. Moreover, our amended and restated certificate of incorporation provides that for so long as the JCF Stockholders and their affiliates own at least 10% of the total voting power of our outstanding shares with respect to the election of directors or otherwise has one or more directors, officers or employees serving as our director, officer or employee, in the event that any of our directors, officers or employees who is also a director, officer or employee of the JCF Stockholders acquires knowledge of a potential transaction or matter that may be a corporate opportunity for us and the JCF Stockholders, such director, officer or employee shall to the fullest extent permitted by law have fully satisfied and fulfilled his or her fiduciary duty, if any, with respect to such corporate opportunity, and we, to the fullest extent permitted by law, renounce any interest or expectancy in such business opportunity, and waive any claim that such business opportunity constituted a corporate opportunity that should have been presented to us or any of our affiliates, if he or she acts in</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5" w:name="page16"/>
    <w:bookmarkEnd w:id="15"/>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79"/>
        <w:spacing w:after="0" w:line="241" w:lineRule="auto"/>
        <w:rPr>
          <w:sz w:val="20"/>
          <w:szCs w:val="20"/>
          <w:color w:val="auto"/>
        </w:rPr>
      </w:pPr>
      <w:r>
        <w:rPr>
          <w:rFonts w:ascii="Times New Roman" w:cs="Times New Roman" w:eastAsia="Times New Roman" w:hAnsi="Times New Roman"/>
          <w:sz w:val="14"/>
          <w:szCs w:val="14"/>
          <w:color w:val="auto"/>
        </w:rPr>
        <w:t>a manner consistent with the following policy: such corporate opportunity offered to any person who is our director, officer or employee and who is also a director, officer or employee of the JCF Stockholders shall belong to us only if such opportunity is expressly offered to such person solely in his or her capacity as our director or officer and otherwise shall belong to the JCF Stockholders.</w:t>
      </w:r>
    </w:p>
    <w:p>
      <w:pPr>
        <w:spacing w:after="0" w:line="92" w:lineRule="exact"/>
        <w:rPr>
          <w:sz w:val="20"/>
          <w:szCs w:val="20"/>
          <w:color w:val="auto"/>
        </w:rPr>
      </w:pPr>
    </w:p>
    <w:p>
      <w:pPr>
        <w:ind w:left="1380" w:right="1559" w:firstLine="273"/>
        <w:spacing w:after="0" w:line="239"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for special approval procedures that may be utilized if it is deemed desirable by the JCF Stockholders, us, our affiliates or any other party, that we take action with specific regard to transactions or opportunities presenting potential conflicts of interest, out of an abundance of caution, to ensure that such transactions are not voidable, or that such an opportunity or opportunities are effectively disclaimed. Specifically, we may employ any of the following special procedures:</w:t>
      </w:r>
    </w:p>
    <w:p>
      <w:pPr>
        <w:spacing w:after="0" w:line="64" w:lineRule="exact"/>
        <w:rPr>
          <w:sz w:val="20"/>
          <w:szCs w:val="20"/>
          <w:color w:val="auto"/>
        </w:rPr>
      </w:pPr>
    </w:p>
    <w:p>
      <w:pPr>
        <w:ind w:left="1800" w:right="1419" w:hanging="141"/>
        <w:spacing w:after="0" w:line="249"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of the transaction and the director’s, officer’s or employee’s interest are disclosed or known to the board of directors or a duly appointed committee of the board of directors, and the board of directors or such committee authorizes approves or ratifies the transaction by the affirmative vote or consent of a majority of the directors (or committee members) who have no direct or indirect interest in the transaction and, in any event, of at least two directors (or committee members); or</w:t>
      </w:r>
    </w:p>
    <w:p>
      <w:pPr>
        <w:spacing w:after="0" w:line="200" w:lineRule="exact"/>
        <w:rPr>
          <w:rFonts w:ascii="Times New Roman" w:cs="Times New Roman" w:eastAsia="Times New Roman" w:hAnsi="Times New Roman"/>
          <w:sz w:val="14"/>
          <w:szCs w:val="14"/>
          <w:color w:val="auto"/>
        </w:rPr>
      </w:pPr>
    </w:p>
    <w:p>
      <w:pPr>
        <w:ind w:left="1800" w:right="1979" w:hanging="141"/>
        <w:spacing w:after="0" w:line="266"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of the transaction and the director’s interest are disclosed or known to the stockholders entitled to vote and they authorize, approve or ratify such transaction.</w:t>
      </w:r>
    </w:p>
    <w:p>
      <w:pPr>
        <w:spacing w:after="0" w:line="64" w:lineRule="exact"/>
        <w:rPr>
          <w:sz w:val="20"/>
          <w:szCs w:val="20"/>
          <w:color w:val="auto"/>
        </w:rPr>
      </w:pPr>
    </w:p>
    <w:p>
      <w:pPr>
        <w:ind w:left="1380" w:right="1539" w:firstLine="273"/>
        <w:spacing w:after="0" w:line="251" w:lineRule="auto"/>
        <w:rPr>
          <w:sz w:val="20"/>
          <w:szCs w:val="20"/>
          <w:color w:val="auto"/>
        </w:rPr>
      </w:pPr>
      <w:r>
        <w:rPr>
          <w:rFonts w:ascii="Times New Roman" w:cs="Times New Roman" w:eastAsia="Times New Roman" w:hAnsi="Times New Roman"/>
          <w:sz w:val="14"/>
          <w:szCs w:val="14"/>
          <w:color w:val="auto"/>
        </w:rPr>
        <w:t>Any person purchasing or otherwise acquiring any interest in any shares of our common stock will be deemed to have consented to these provisions of our amended and restated certificate of incorporation.</w:t>
      </w:r>
    </w:p>
    <w:p>
      <w:pPr>
        <w:spacing w:after="0" w:line="84" w:lineRule="exact"/>
        <w:rPr>
          <w:sz w:val="20"/>
          <w:szCs w:val="20"/>
          <w:color w:val="auto"/>
        </w:rPr>
      </w:pPr>
    </w:p>
    <w:p>
      <w:pPr>
        <w:ind w:left="1380" w:right="1479" w:firstLine="273"/>
        <w:spacing w:after="0" w:line="222"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then outstanding, and in addition to any vote required by applicable law, the affirmative vote of the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w:t>
      </w:r>
    </w:p>
    <w:p>
      <w:pPr>
        <w:spacing w:after="0" w:line="2" w:lineRule="exact"/>
        <w:rPr>
          <w:sz w:val="20"/>
          <w:szCs w:val="20"/>
          <w:color w:val="auto"/>
        </w:rPr>
      </w:pPr>
    </w:p>
    <w:p>
      <w:pPr>
        <w:ind w:left="1380" w:right="1559"/>
        <w:spacing w:after="0" w:line="238" w:lineRule="auto"/>
        <w:rPr>
          <w:sz w:val="20"/>
          <w:szCs w:val="20"/>
          <w:color w:val="auto"/>
        </w:rPr>
      </w:pPr>
      <w:r>
        <w:rPr>
          <w:rFonts w:ascii="Times New Roman" w:cs="Times New Roman" w:eastAsia="Times New Roman" w:hAnsi="Times New Roman"/>
          <w:sz w:val="14"/>
          <w:szCs w:val="14"/>
          <w:color w:val="auto"/>
        </w:rPr>
        <w:t>power of the then outstanding shares of voting stock, voting together as a single class, shall be required to alter, amend or repeal, or to adopt any provision inconsistent with these provisions of the amended and restated certificate of incorporation.</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20" w:lineRule="exact"/>
        <w:rPr>
          <w:sz w:val="20"/>
          <w:szCs w:val="20"/>
          <w:color w:val="auto"/>
        </w:rPr>
      </w:pPr>
    </w:p>
    <w:p>
      <w:pPr>
        <w:ind w:left="1380" w:right="1499" w:firstLine="273"/>
        <w:spacing w:after="0" w:line="237" w:lineRule="auto"/>
        <w:rPr>
          <w:sz w:val="20"/>
          <w:szCs w:val="20"/>
          <w:color w:val="auto"/>
        </w:rPr>
      </w:pPr>
      <w:r>
        <w:rPr>
          <w:rFonts w:ascii="Times New Roman" w:cs="Times New Roman" w:eastAsia="Times New Roman" w:hAnsi="Times New Roman"/>
          <w:sz w:val="14"/>
          <w:szCs w:val="14"/>
          <w:color w:val="auto"/>
        </w:rPr>
        <w:t>Our amended and restated bylaws provide indemnification for our directors and officers to the fullest extent permitted by the DGCL, along with the right to have expenses incurred in defending proceedings paid in advance of their final disposition. In connection with our initial public offering, we entered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to recover monetary damages against a director for breach of fiduciary duties as a director.</w:t>
      </w:r>
    </w:p>
    <w:p>
      <w:pPr>
        <w:spacing w:after="0" w:line="93" w:lineRule="exact"/>
        <w:rPr>
          <w:sz w:val="20"/>
          <w:szCs w:val="20"/>
          <w:color w:val="auto"/>
        </w:rPr>
      </w:pPr>
    </w:p>
    <w:p>
      <w:pPr>
        <w:ind w:left="1380" w:right="1459" w:firstLine="273"/>
        <w:spacing w:after="0" w:line="24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20" w:lineRule="exact"/>
        <w:rPr>
          <w:sz w:val="20"/>
          <w:szCs w:val="20"/>
          <w:color w:val="auto"/>
        </w:rPr>
      </w:pPr>
    </w:p>
    <w:p>
      <w:pPr>
        <w:ind w:left="1380" w:right="1399" w:firstLine="273"/>
        <w:spacing w:after="0"/>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relating to us.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29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20" w:lineRule="exact"/>
        <w:rPr>
          <w:sz w:val="20"/>
          <w:szCs w:val="20"/>
          <w:color w:val="auto"/>
        </w:rPr>
      </w:pPr>
    </w:p>
    <w:p>
      <w:pPr>
        <w:ind w:left="1380" w:right="1599" w:firstLine="273"/>
        <w:spacing w:after="0" w:line="251"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in certain circumstances. Among other things, either the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6" w:name="page17"/>
    <w:bookmarkEnd w:id="16"/>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380" w:right="1539"/>
        <w:spacing w:after="0" w:line="255" w:lineRule="auto"/>
        <w:rPr>
          <w:sz w:val="20"/>
          <w:szCs w:val="20"/>
          <w:color w:val="auto"/>
        </w:rPr>
      </w:pPr>
      <w:r>
        <w:rPr>
          <w:rFonts w:ascii="Times New Roman" w:cs="Times New Roman" w:eastAsia="Times New Roman" w:hAnsi="Times New Roman"/>
          <w:sz w:val="14"/>
          <w:szCs w:val="14"/>
          <w:color w:val="auto"/>
        </w:rPr>
        <w:t>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20" w:lineRule="exact"/>
        <w:rPr>
          <w:sz w:val="20"/>
          <w:szCs w:val="20"/>
          <w:color w:val="auto"/>
        </w:rPr>
      </w:pPr>
    </w:p>
    <w:p>
      <w:pPr>
        <w:ind w:left="1380" w:right="1419" w:firstLine="273"/>
        <w:spacing w:after="0" w:line="24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 (iii) any action asserting a claim against us arising pursuant to the DGCL, our certificate of incorporation or our bylaws (as either may be amended from time to time); and (iv) any action asserting a claim against us that is governed by the internal affairs doctrine. As a result, any action brought by any of our stockholders with regard to any of these matters needs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Furthermore, Section 22 of the Securities Act, creates concurrent jurisdiction for federal and state courts over all suits brought to enforce any duty or liability created by the Securities Act or the rules and regulations thereunder. Consequently, the enforceability of similar choice of forum provisions in other companies’ certificates of incorporation or bylaws has been challenged in legal proceedings, and it is possible that a court could find these types of provisions to be inapplicable or unenforceable. To prevent having to litigate claims in multiple jurisdictions and the threat of inconsistent or contrary rulings by different courts, among other considerations, our amended and restated certificate of incorporation and amended and restated bylaws will also provide that, to the fullest extent permitted by law,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While the Delaware courts have determined that such choice of forum provisions are facially valid, the enforceability of similar choice of forum provisions in other companies’ certificates of incorporation or bylaws has been challenged in legal proceedings and a stockholder may nevertheless seek to bring a claim in a venue other than those designated in the exclusive forum provisions. Nothing in our amended and restated certificate of incorporation and amended and restated bylaws preclude stockholders that assert claims under the Exchange Act from bringing such claims in state or federal court, subject to applicable law.</w:t>
      </w:r>
    </w:p>
    <w:p>
      <w:pPr>
        <w:spacing w:after="0" w:line="270" w:lineRule="exact"/>
        <w:rPr>
          <w:sz w:val="20"/>
          <w:szCs w:val="20"/>
          <w:color w:val="auto"/>
        </w:rPr>
      </w:pPr>
    </w:p>
    <w:p>
      <w:pPr>
        <w:ind w:left="1380" w:right="1459" w:firstLine="273"/>
        <w:spacing w:after="0" w:line="247" w:lineRule="auto"/>
        <w:rPr>
          <w:sz w:val="20"/>
          <w:szCs w:val="20"/>
          <w:color w:val="auto"/>
        </w:rPr>
      </w:pPr>
      <w:r>
        <w:rPr>
          <w:rFonts w:ascii="Times New Roman" w:cs="Times New Roman" w:eastAsia="Times New Roman" w:hAnsi="Times New Roman"/>
          <w:sz w:val="14"/>
          <w:szCs w:val="14"/>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87" w:lineRule="exact"/>
        <w:rPr>
          <w:sz w:val="20"/>
          <w:szCs w:val="20"/>
          <w:color w:val="auto"/>
        </w:rPr>
      </w:pPr>
    </w:p>
    <w:p>
      <w:pPr>
        <w:ind w:left="1380" w:right="1439" w:firstLine="273"/>
        <w:spacing w:after="0" w:line="249"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For the avoidance of doubt, we note that investors cannot waive compliance with the federal securities laws and the rules and regulations thereunder.</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7" w:name="page18"/>
    <w:bookmarkEnd w:id="17"/>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6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Trading Symbol and Market</w:t>
      </w:r>
    </w:p>
    <w:p>
      <w:pPr>
        <w:spacing w:after="0" w:line="120"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“JCAP.”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8" w:name="page19"/>
    <w:bookmarkEnd w:id="18"/>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0" w:lineRule="exact"/>
        <w:rPr>
          <w:sz w:val="20"/>
          <w:szCs w:val="20"/>
          <w:color w:val="auto"/>
        </w:rPr>
      </w:pPr>
    </w:p>
    <w:p>
      <w:pPr>
        <w:ind w:left="1380" w:right="1519" w:firstLine="273"/>
        <w:spacing w:after="0" w:line="24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95" w:lineRule="exact"/>
        <w:rPr>
          <w:sz w:val="20"/>
          <w:szCs w:val="20"/>
          <w:color w:val="auto"/>
        </w:rPr>
      </w:pPr>
    </w:p>
    <w:p>
      <w:pPr>
        <w:ind w:left="1380" w:right="1439" w:firstLine="273"/>
        <w:spacing w:after="0" w:line="252"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83" w:lineRule="exact"/>
        <w:rPr>
          <w:sz w:val="20"/>
          <w:szCs w:val="20"/>
          <w:color w:val="auto"/>
        </w:rPr>
      </w:pPr>
    </w:p>
    <w:p>
      <w:pPr>
        <w:ind w:left="1380" w:right="1459" w:firstLine="273"/>
        <w:spacing w:after="0" w:line="249"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U.S. Bank Trust Company,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As used in this section only, “Jefferson Capital,” “we,” “our” or “us” refer to Jefferson Capital, Inc.</w:t>
      </w:r>
    </w:p>
    <w:p>
      <w:pPr>
        <w:spacing w:after="0" w:line="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excluding our subsidiaries, unless expressly stated or the context otherwise requires.</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80" w:right="1459" w:firstLine="273"/>
        <w:spacing w:after="0" w:line="250"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85" w:lineRule="exact"/>
        <w:rPr>
          <w:sz w:val="20"/>
          <w:szCs w:val="20"/>
          <w:color w:val="auto"/>
        </w:rPr>
      </w:pPr>
    </w:p>
    <w:p>
      <w:pPr>
        <w:jc w:val="both"/>
        <w:ind w:left="1380" w:right="1479" w:firstLine="273"/>
        <w:spacing w:after="0" w:line="250"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5" w:lineRule="exact"/>
        <w:rPr>
          <w:sz w:val="20"/>
          <w:szCs w:val="20"/>
          <w:color w:val="auto"/>
        </w:rPr>
      </w:pPr>
    </w:p>
    <w:p>
      <w:pPr>
        <w:ind w:left="1800" w:hanging="141"/>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85" w:lineRule="exact"/>
        <w:rPr>
          <w:rFonts w:ascii="Times New Roman" w:cs="Times New Roman" w:eastAsia="Times New Roman" w:hAnsi="Times New Roman"/>
          <w:sz w:val="14"/>
          <w:szCs w:val="14"/>
          <w:color w:val="auto"/>
        </w:rPr>
      </w:pPr>
    </w:p>
    <w:p>
      <w:pPr>
        <w:ind w:left="1800" w:right="1479" w:hanging="141"/>
        <w:spacing w:after="0" w:line="266"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95" w:lineRule="exact"/>
        <w:rPr>
          <w:rFonts w:ascii="Times New Roman" w:cs="Times New Roman" w:eastAsia="Times New Roman" w:hAnsi="Times New Roman"/>
          <w:sz w:val="14"/>
          <w:szCs w:val="14"/>
          <w:color w:val="auto"/>
        </w:rPr>
      </w:pPr>
    </w:p>
    <w:p>
      <w:pPr>
        <w:ind w:left="1800" w:right="1419" w:hanging="141"/>
        <w:spacing w:after="0" w:line="250"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4" w:lineRule="exact"/>
        <w:rPr>
          <w:rFonts w:ascii="Times New Roman" w:cs="Times New Roman" w:eastAsia="Times New Roman" w:hAnsi="Times New Roman"/>
          <w:sz w:val="14"/>
          <w:szCs w:val="14"/>
          <w:color w:val="auto"/>
        </w:rPr>
      </w:pPr>
    </w:p>
    <w:p>
      <w:pPr>
        <w:jc w:val="both"/>
        <w:ind w:left="1800" w:right="1419" w:hanging="141"/>
        <w:spacing w:after="0" w:line="252"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2" w:lineRule="exact"/>
        <w:rPr>
          <w:rFonts w:ascii="Times New Roman" w:cs="Times New Roman" w:eastAsia="Times New Roman" w:hAnsi="Times New Roman"/>
          <w:sz w:val="14"/>
          <w:szCs w:val="14"/>
          <w:color w:val="auto"/>
        </w:rPr>
      </w:pPr>
    </w:p>
    <w:p>
      <w:pPr>
        <w:ind w:left="1800" w:right="1599" w:hanging="141"/>
        <w:spacing w:after="0" w:line="266"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193040</wp:posOffset>
            </wp:positionV>
            <wp:extent cx="51974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9" w:name="page20"/>
    <w:bookmarkEnd w:id="19"/>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1539" w:hanging="141"/>
        <w:spacing w:after="0" w:line="252"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62" w:lineRule="exact"/>
        <w:rPr>
          <w:rFonts w:ascii="Times New Roman" w:cs="Times New Roman" w:eastAsia="Times New Roman" w:hAnsi="Times New Roman"/>
          <w:sz w:val="14"/>
          <w:szCs w:val="14"/>
          <w:color w:val="auto"/>
        </w:rPr>
      </w:pPr>
    </w:p>
    <w:p>
      <w:pPr>
        <w:jc w:val="both"/>
        <w:ind w:left="1800" w:right="141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43" w:lineRule="exact"/>
        <w:rPr>
          <w:rFonts w:ascii="Times New Roman" w:cs="Times New Roman" w:eastAsia="Times New Roman" w:hAnsi="Times New Roman"/>
          <w:sz w:val="14"/>
          <w:szCs w:val="14"/>
          <w:color w:val="auto"/>
        </w:rPr>
      </w:pPr>
    </w:p>
    <w:p>
      <w:pPr>
        <w:ind w:left="1800" w:right="149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43" w:lineRule="exact"/>
        <w:rPr>
          <w:rFonts w:ascii="Times New Roman" w:cs="Times New Roman" w:eastAsia="Times New Roman" w:hAnsi="Times New Roman"/>
          <w:sz w:val="14"/>
          <w:szCs w:val="14"/>
          <w:color w:val="auto"/>
        </w:rPr>
      </w:pPr>
    </w:p>
    <w:p>
      <w:pPr>
        <w:ind w:left="1800" w:right="165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43" w:lineRule="exact"/>
        <w:rPr>
          <w:rFonts w:ascii="Times New Roman" w:cs="Times New Roman" w:eastAsia="Times New Roman" w:hAnsi="Times New Roman"/>
          <w:sz w:val="14"/>
          <w:szCs w:val="14"/>
          <w:color w:val="auto"/>
        </w:rPr>
      </w:pPr>
    </w:p>
    <w:p>
      <w:pPr>
        <w:ind w:left="1800" w:right="145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43" w:lineRule="exact"/>
        <w:rPr>
          <w:rFonts w:ascii="Times New Roman" w:cs="Times New Roman" w:eastAsia="Times New Roman" w:hAnsi="Times New Roman"/>
          <w:sz w:val="14"/>
          <w:szCs w:val="14"/>
          <w:color w:val="auto"/>
        </w:rPr>
      </w:pPr>
    </w:p>
    <w:p>
      <w:pPr>
        <w:ind w:left="1800" w:right="1759" w:hanging="141"/>
        <w:spacing w:after="0" w:line="255"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1" w:lineRule="exact"/>
        <w:rPr>
          <w:rFonts w:ascii="Times New Roman" w:cs="Times New Roman" w:eastAsia="Times New Roman" w:hAnsi="Times New Roman"/>
          <w:sz w:val="14"/>
          <w:szCs w:val="14"/>
          <w:color w:val="auto"/>
        </w:rPr>
      </w:pPr>
    </w:p>
    <w:p>
      <w:pPr>
        <w:ind w:left="1800" w:right="181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4"/>
          <w:szCs w:val="14"/>
          <w:color w:val="auto"/>
        </w:rPr>
      </w:pPr>
    </w:p>
    <w:p>
      <w:pPr>
        <w:ind w:left="1800" w:right="1419" w:hanging="141"/>
        <w:spacing w:after="0" w:line="255"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1" w:lineRule="exact"/>
        <w:rPr>
          <w:rFonts w:ascii="Times New Roman" w:cs="Times New Roman" w:eastAsia="Times New Roman" w:hAnsi="Times New Roman"/>
          <w:sz w:val="14"/>
          <w:szCs w:val="14"/>
          <w:color w:val="auto"/>
        </w:rPr>
      </w:pPr>
    </w:p>
    <w:p>
      <w:pPr>
        <w:jc w:val="both"/>
        <w:ind w:left="1800" w:right="1459" w:hanging="141"/>
        <w:spacing w:after="0" w:line="252"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74" w:lineRule="exact"/>
        <w:rPr>
          <w:rFonts w:ascii="Times New Roman" w:cs="Times New Roman" w:eastAsia="Times New Roman" w:hAnsi="Times New Roman"/>
          <w:sz w:val="14"/>
          <w:szCs w:val="14"/>
          <w:color w:val="auto"/>
        </w:rPr>
      </w:pPr>
    </w:p>
    <w:p>
      <w:pPr>
        <w:jc w:val="both"/>
        <w:ind w:left="1800" w:right="1499" w:hanging="141"/>
        <w:spacing w:after="0" w:line="255"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1" w:lineRule="exact"/>
        <w:rPr>
          <w:rFonts w:ascii="Times New Roman" w:cs="Times New Roman" w:eastAsia="Times New Roman" w:hAnsi="Times New Roman"/>
          <w:sz w:val="14"/>
          <w:szCs w:val="14"/>
          <w:color w:val="auto"/>
        </w:rPr>
      </w:pPr>
    </w:p>
    <w:p>
      <w:pPr>
        <w:ind w:left="1800" w:right="195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43" w:lineRule="exact"/>
        <w:rPr>
          <w:rFonts w:ascii="Times New Roman" w:cs="Times New Roman" w:eastAsia="Times New Roman" w:hAnsi="Times New Roman"/>
          <w:sz w:val="14"/>
          <w:szCs w:val="14"/>
          <w:color w:val="auto"/>
        </w:rPr>
      </w:pPr>
    </w:p>
    <w:p>
      <w:pPr>
        <w:ind w:left="1800" w:right="165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43" w:lineRule="exact"/>
        <w:rPr>
          <w:rFonts w:ascii="Times New Roman" w:cs="Times New Roman" w:eastAsia="Times New Roman" w:hAnsi="Times New Roman"/>
          <w:sz w:val="14"/>
          <w:szCs w:val="14"/>
          <w:color w:val="auto"/>
        </w:rPr>
      </w:pPr>
    </w:p>
    <w:p>
      <w:pPr>
        <w:ind w:left="1800" w:right="1559" w:hanging="141"/>
        <w:spacing w:after="0" w:line="252"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2" w:lineRule="exact"/>
        <w:rPr>
          <w:rFonts w:ascii="Times New Roman" w:cs="Times New Roman" w:eastAsia="Times New Roman" w:hAnsi="Times New Roman"/>
          <w:sz w:val="14"/>
          <w:szCs w:val="14"/>
          <w:color w:val="auto"/>
        </w:rPr>
      </w:pPr>
    </w:p>
    <w:p>
      <w:pPr>
        <w:jc w:val="both"/>
        <w:ind w:left="1800" w:right="1499" w:hanging="141"/>
        <w:spacing w:after="0" w:line="255"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1" w:lineRule="exact"/>
        <w:rPr>
          <w:rFonts w:ascii="Times New Roman" w:cs="Times New Roman" w:eastAsia="Times New Roman" w:hAnsi="Times New Roman"/>
          <w:sz w:val="14"/>
          <w:szCs w:val="14"/>
          <w:color w:val="auto"/>
        </w:rPr>
      </w:pPr>
    </w:p>
    <w:p>
      <w:pPr>
        <w:ind w:left="1800" w:right="1679" w:hanging="141"/>
        <w:spacing w:after="0" w:line="266"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84" w:lineRule="exact"/>
        <w:rPr>
          <w:sz w:val="20"/>
          <w:szCs w:val="20"/>
          <w:color w:val="auto"/>
        </w:rPr>
      </w:pPr>
    </w:p>
    <w:p>
      <w:pPr>
        <w:ind w:left="1380" w:right="1599" w:firstLine="273"/>
        <w:spacing w:after="0" w:line="241"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2" w:lineRule="exact"/>
        <w:rPr>
          <w:sz w:val="20"/>
          <w:szCs w:val="20"/>
          <w:color w:val="auto"/>
        </w:rPr>
      </w:pPr>
    </w:p>
    <w:p>
      <w:pPr>
        <w:ind w:left="1380" w:right="1479" w:firstLine="273"/>
        <w:spacing w:after="0" w:line="251"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0" w:name="page21"/>
    <w:bookmarkEnd w:id="20"/>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99"/>
        <w:spacing w:after="0" w:line="252" w:lineRule="auto"/>
        <w:rPr>
          <w:sz w:val="20"/>
          <w:szCs w:val="20"/>
          <w:color w:val="auto"/>
        </w:rPr>
      </w:pPr>
      <w:r>
        <w:rPr>
          <w:rFonts w:ascii="Times New Roman" w:cs="Times New Roman" w:eastAsia="Times New Roman" w:hAnsi="Times New Roman"/>
          <w:sz w:val="14"/>
          <w:szCs w:val="14"/>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20" w:lineRule="exact"/>
        <w:rPr>
          <w:sz w:val="20"/>
          <w:szCs w:val="20"/>
          <w:color w:val="auto"/>
        </w:rPr>
      </w:pPr>
    </w:p>
    <w:p>
      <w:pPr>
        <w:ind w:left="1380" w:right="1419" w:firstLine="273"/>
        <w:spacing w:after="0" w:line="24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97" w:lineRule="exact"/>
        <w:rPr>
          <w:sz w:val="20"/>
          <w:szCs w:val="20"/>
          <w:color w:val="auto"/>
        </w:rPr>
      </w:pPr>
    </w:p>
    <w:p>
      <w:pPr>
        <w:ind w:left="1380" w:right="1419" w:firstLine="273"/>
        <w:spacing w:after="0" w:line="250" w:lineRule="auto"/>
        <w:rPr>
          <w:sz w:val="20"/>
          <w:szCs w:val="20"/>
          <w:color w:val="auto"/>
        </w:rPr>
      </w:pPr>
      <w:r>
        <w:rPr>
          <w:rFonts w:ascii="Times New Roman" w:cs="Times New Roman" w:eastAsia="Times New Roman" w:hAnsi="Times New Roman"/>
          <w:sz w:val="14"/>
          <w:szCs w:val="14"/>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85" w:lineRule="exact"/>
        <w:rPr>
          <w:sz w:val="20"/>
          <w:szCs w:val="20"/>
          <w:color w:val="auto"/>
        </w:rPr>
      </w:pPr>
    </w:p>
    <w:p>
      <w:pPr>
        <w:ind w:left="1380" w:right="1559" w:firstLine="273"/>
        <w:spacing w:after="0" w:line="252"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3" w:lineRule="exact"/>
        <w:rPr>
          <w:sz w:val="20"/>
          <w:szCs w:val="20"/>
          <w:color w:val="auto"/>
        </w:rPr>
      </w:pPr>
    </w:p>
    <w:p>
      <w:pPr>
        <w:ind w:left="1380" w:right="1419" w:firstLine="273"/>
        <w:spacing w:after="0" w:line="255" w:lineRule="auto"/>
        <w:rPr>
          <w:sz w:val="20"/>
          <w:szCs w:val="20"/>
          <w:color w:val="auto"/>
        </w:rPr>
      </w:pPr>
      <w:r>
        <w:rPr>
          <w:rFonts w:ascii="Times New Roman" w:cs="Times New Roman" w:eastAsia="Times New Roman" w:hAnsi="Times New Roman"/>
          <w:sz w:val="14"/>
          <w:szCs w:val="14"/>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20" w:lineRule="exact"/>
        <w:rPr>
          <w:sz w:val="20"/>
          <w:szCs w:val="20"/>
          <w:color w:val="auto"/>
        </w:rPr>
      </w:pPr>
    </w:p>
    <w:p>
      <w:pPr>
        <w:ind w:left="1380" w:right="1599" w:firstLine="273"/>
        <w:spacing w:after="0" w:line="266"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1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0" w:lineRule="exact"/>
        <w:rPr>
          <w:sz w:val="20"/>
          <w:szCs w:val="20"/>
          <w:color w:val="auto"/>
        </w:rPr>
      </w:pPr>
    </w:p>
    <w:p>
      <w:pPr>
        <w:ind w:left="1380" w:right="1459" w:firstLine="273"/>
        <w:spacing w:after="0" w:line="252"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20" w:lineRule="exact"/>
        <w:rPr>
          <w:sz w:val="20"/>
          <w:szCs w:val="20"/>
          <w:color w:val="auto"/>
        </w:rPr>
      </w:pPr>
    </w:p>
    <w:p>
      <w:pPr>
        <w:ind w:left="1380" w:right="1539" w:firstLine="273"/>
        <w:spacing w:after="0" w:line="266"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53" w:lineRule="exact"/>
        <w:rPr>
          <w:sz w:val="20"/>
          <w:szCs w:val="20"/>
          <w:color w:val="auto"/>
        </w:rPr>
      </w:pPr>
    </w:p>
    <w:p>
      <w:pPr>
        <w:ind w:left="1800" w:right="1399" w:hanging="141"/>
        <w:spacing w:after="0" w:line="255"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Jefferson Capital) is a corporation, partnership, trust or other entity organized and validly existing under the laws of any U.S. domestic jurisdiction and expressly assumes our obligations on the debt securities and under the indenture; and</w:t>
      </w:r>
    </w:p>
    <w:p>
      <w:pPr>
        <w:spacing w:after="0" w:line="61" w:lineRule="exact"/>
        <w:rPr>
          <w:rFonts w:ascii="Times New Roman" w:cs="Times New Roman" w:eastAsia="Times New Roman" w:hAnsi="Times New Roman"/>
          <w:sz w:val="14"/>
          <w:szCs w:val="14"/>
          <w:color w:val="auto"/>
        </w:rPr>
      </w:pPr>
    </w:p>
    <w:p>
      <w:pPr>
        <w:ind w:left="1800" w:right="1399" w:hanging="141"/>
        <w:spacing w:after="0" w:line="266"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84" w:lineRule="exact"/>
        <w:rPr>
          <w:sz w:val="20"/>
          <w:szCs w:val="20"/>
          <w:color w:val="auto"/>
        </w:rPr>
      </w:pPr>
    </w:p>
    <w:p>
      <w:pPr>
        <w:ind w:left="1380" w:right="1519" w:firstLine="273"/>
        <w:spacing w:after="0" w:line="266" w:lineRule="auto"/>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 (Section 5.1)</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1" w:name="page22"/>
    <w:bookmarkEnd w:id="21"/>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85" w:lineRule="exact"/>
        <w:rPr>
          <w:sz w:val="20"/>
          <w:szCs w:val="20"/>
          <w:color w:val="auto"/>
        </w:rPr>
      </w:pPr>
    </w:p>
    <w:p>
      <w:pPr>
        <w:ind w:left="1800" w:right="1479" w:hanging="141"/>
        <w:spacing w:after="0" w:line="252"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74" w:lineRule="exact"/>
        <w:rPr>
          <w:rFonts w:ascii="Times New Roman" w:cs="Times New Roman" w:eastAsia="Times New Roman" w:hAnsi="Times New Roman"/>
          <w:sz w:val="14"/>
          <w:szCs w:val="14"/>
          <w:color w:val="auto"/>
        </w:rPr>
      </w:pPr>
    </w:p>
    <w:p>
      <w:pPr>
        <w:ind w:left="1800" w:right="1439" w:hanging="141"/>
        <w:spacing w:after="0" w:line="249"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Jefferson Capital and the trustee receive written notice from the holders of not less than 25% in principal amount of the outstanding debt securities of that series as provided in the indenture;</w:t>
      </w:r>
    </w:p>
    <w:p>
      <w:pPr>
        <w:spacing w:after="0" w:line="64" w:lineRule="exact"/>
        <w:rPr>
          <w:rFonts w:ascii="Times New Roman" w:cs="Times New Roman" w:eastAsia="Times New Roman" w:hAnsi="Times New Roman"/>
          <w:sz w:val="14"/>
          <w:szCs w:val="14"/>
          <w:color w:val="auto"/>
        </w:rPr>
      </w:pPr>
    </w:p>
    <w:p>
      <w:pPr>
        <w:ind w:left="1800" w:right="1739" w:hanging="141"/>
        <w:spacing w:after="0" w:line="266"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Jefferson Capital;</w:t>
      </w:r>
    </w:p>
    <w:p>
      <w:pPr>
        <w:spacing w:after="0" w:line="53" w:lineRule="exact"/>
        <w:rPr>
          <w:rFonts w:ascii="Times New Roman" w:cs="Times New Roman" w:eastAsia="Times New Roman" w:hAnsi="Times New Roman"/>
          <w:sz w:val="14"/>
          <w:szCs w:val="14"/>
          <w:color w:val="auto"/>
        </w:rPr>
      </w:pPr>
    </w:p>
    <w:p>
      <w:pPr>
        <w:ind w:left="1800" w:right="1519" w:hanging="141"/>
        <w:spacing w:after="0" w:line="266"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84" w:lineRule="exact"/>
        <w:rPr>
          <w:sz w:val="20"/>
          <w:szCs w:val="20"/>
          <w:color w:val="auto"/>
        </w:rPr>
      </w:pPr>
    </w:p>
    <w:p>
      <w:pPr>
        <w:ind w:left="1380" w:right="1439" w:firstLine="273"/>
        <w:spacing w:after="0" w:line="239"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91" w:lineRule="exact"/>
        <w:rPr>
          <w:sz w:val="20"/>
          <w:szCs w:val="20"/>
          <w:color w:val="auto"/>
        </w:rPr>
      </w:pPr>
    </w:p>
    <w:p>
      <w:pPr>
        <w:ind w:left="1380" w:right="1479" w:firstLine="273"/>
        <w:spacing w:after="0" w:line="241"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2" w:lineRule="exact"/>
        <w:rPr>
          <w:sz w:val="20"/>
          <w:szCs w:val="20"/>
          <w:color w:val="auto"/>
        </w:rPr>
      </w:pPr>
    </w:p>
    <w:p>
      <w:pPr>
        <w:ind w:left="1380" w:right="1459" w:firstLine="273"/>
        <w:spacing w:after="0" w:line="235"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ind w:left="1380" w:right="1419" w:firstLine="273"/>
        <w:spacing w:after="0" w:line="238" w:lineRule="auto"/>
        <w:rPr>
          <w:sz w:val="20"/>
          <w:szCs w:val="20"/>
          <w:color w:val="auto"/>
        </w:rPr>
      </w:pPr>
      <w:r>
        <w:rPr>
          <w:rFonts w:ascii="Times New Roman" w:cs="Times New Roman" w:eastAsia="Times New Roman" w:hAnsi="Times New Roman"/>
          <w:sz w:val="14"/>
          <w:szCs w:val="14"/>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2" w:name="page23"/>
    <w:bookmarkEnd w:id="22"/>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99" w:firstLine="273"/>
        <w:spacing w:after="0" w:line="255"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1579" w:hanging="141"/>
        <w:spacing w:after="0" w:line="266"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63" w:lineRule="exact"/>
        <w:rPr>
          <w:rFonts w:ascii="Times New Roman" w:cs="Times New Roman" w:eastAsia="Times New Roman" w:hAnsi="Times New Roman"/>
          <w:sz w:val="14"/>
          <w:szCs w:val="14"/>
          <w:color w:val="auto"/>
        </w:rPr>
      </w:pPr>
    </w:p>
    <w:p>
      <w:pPr>
        <w:ind w:left="1800" w:right="1499" w:hanging="141"/>
        <w:spacing w:after="0" w:line="249"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(and, if requested, provided with)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85" w:lineRule="exact"/>
        <w:rPr>
          <w:sz w:val="20"/>
          <w:szCs w:val="20"/>
          <w:color w:val="auto"/>
        </w:rPr>
      </w:pPr>
    </w:p>
    <w:p>
      <w:pPr>
        <w:ind w:left="1380" w:right="1619" w:firstLine="273"/>
        <w:spacing w:after="0" w:line="252"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93" w:lineRule="exact"/>
        <w:rPr>
          <w:sz w:val="20"/>
          <w:szCs w:val="20"/>
          <w:color w:val="auto"/>
        </w:rPr>
      </w:pPr>
    </w:p>
    <w:p>
      <w:pPr>
        <w:ind w:left="1380" w:right="1419" w:firstLine="273"/>
        <w:spacing w:after="0" w:line="247" w:lineRule="auto"/>
        <w:rPr>
          <w:sz w:val="20"/>
          <w:szCs w:val="20"/>
          <w:color w:val="auto"/>
        </w:rPr>
      </w:pPr>
      <w:r>
        <w:rPr>
          <w:rFonts w:ascii="Times New Roman" w:cs="Times New Roman" w:eastAsia="Times New Roman" w:hAnsi="Times New Roman"/>
          <w:sz w:val="14"/>
          <w:szCs w:val="14"/>
          <w:color w:val="auto"/>
        </w:rPr>
        <w:t>The indenture will require us, within 120 days after the end of our fiscal year, to furnish to the trustee a statement as to compliance with the indenture. (Section 4.3) 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90 days after it occurs or, if later, after a responsible officer of the trustee has actual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20" w:lineRule="exact"/>
        <w:rPr>
          <w:sz w:val="20"/>
          <w:szCs w:val="20"/>
          <w:color w:val="auto"/>
        </w:rPr>
      </w:pPr>
    </w:p>
    <w:p>
      <w:pPr>
        <w:ind w:left="1380" w:right="1499" w:firstLine="273"/>
        <w:spacing w:after="0" w:line="266"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53" w:lineRule="exact"/>
        <w:rPr>
          <w:sz w:val="20"/>
          <w:szCs w:val="20"/>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85" w:lineRule="exact"/>
        <w:rPr>
          <w:rFonts w:ascii="Times New Roman" w:cs="Times New Roman" w:eastAsia="Times New Roman" w:hAnsi="Times New Roman"/>
          <w:sz w:val="14"/>
          <w:szCs w:val="14"/>
          <w:color w:val="auto"/>
        </w:rPr>
      </w:pPr>
    </w:p>
    <w:p>
      <w:pPr>
        <w:ind w:left="1800" w:right="1839" w:hanging="141"/>
        <w:spacing w:after="0" w:line="266"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85" w:lineRule="exact"/>
        <w:rPr>
          <w:rFonts w:ascii="Times New Roman" w:cs="Times New Roman" w:eastAsia="Times New Roman" w:hAnsi="Times New Roman"/>
          <w:sz w:val="14"/>
          <w:szCs w:val="14"/>
          <w:color w:val="auto"/>
        </w:rPr>
      </w:pPr>
    </w:p>
    <w:p>
      <w:pPr>
        <w:ind w:left="1800" w:right="1579" w:hanging="141"/>
        <w:spacing w:after="0" w:line="266"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4"/>
          <w:szCs w:val="14"/>
          <w:color w:val="auto"/>
        </w:rPr>
      </w:pPr>
    </w:p>
    <w:p>
      <w:pPr>
        <w:ind w:left="1800" w:right="1419" w:hanging="141"/>
        <w:spacing w:after="0" w:line="255"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1" w:lineRule="exact"/>
        <w:rPr>
          <w:rFonts w:ascii="Times New Roman" w:cs="Times New Roman" w:eastAsia="Times New Roman" w:hAnsi="Times New Roman"/>
          <w:sz w:val="14"/>
          <w:szCs w:val="14"/>
          <w:color w:val="auto"/>
        </w:rPr>
      </w:pPr>
    </w:p>
    <w:p>
      <w:pPr>
        <w:ind w:left="1800" w:right="1879" w:hanging="141"/>
        <w:spacing w:after="0" w:line="266"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84" w:lineRule="exact"/>
        <w:rPr>
          <w:sz w:val="20"/>
          <w:szCs w:val="20"/>
          <w:color w:val="auto"/>
        </w:rPr>
      </w:pPr>
    </w:p>
    <w:p>
      <w:pPr>
        <w:ind w:left="1380" w:right="1559" w:firstLine="273"/>
        <w:spacing w:after="0" w:line="266"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3" w:name="page24"/>
    <w:bookmarkEnd w:id="23"/>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99"/>
        <w:spacing w:after="0" w:line="266" w:lineRule="auto"/>
        <w:rPr>
          <w:sz w:val="20"/>
          <w:szCs w:val="20"/>
          <w:color w:val="auto"/>
        </w:rPr>
      </w:pPr>
      <w:r>
        <w:rPr>
          <w:rFonts w:ascii="Times New Roman" w:cs="Times New Roman" w:eastAsia="Times New Roman" w:hAnsi="Times New Roman"/>
          <w:sz w:val="14"/>
          <w:szCs w:val="14"/>
          <w:color w:val="auto"/>
        </w:rPr>
        <w:t>amendments. We may not make any modification or amendment without the consent of the holders of each affected debt security then outstanding if that amendment will:</w:t>
      </w:r>
    </w:p>
    <w:p>
      <w:pPr>
        <w:spacing w:after="0" w:line="43" w:lineRule="exact"/>
        <w:rPr>
          <w:sz w:val="20"/>
          <w:szCs w:val="20"/>
          <w:color w:val="auto"/>
        </w:rPr>
      </w:pPr>
    </w:p>
    <w:p>
      <w:pPr>
        <w:ind w:left="1800" w:right="1599" w:hanging="141"/>
        <w:spacing w:after="0" w:line="266"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43" w:lineRule="exact"/>
        <w:rPr>
          <w:rFonts w:ascii="Times New Roman" w:cs="Times New Roman" w:eastAsia="Times New Roman" w:hAnsi="Times New Roman"/>
          <w:sz w:val="14"/>
          <w:szCs w:val="14"/>
          <w:color w:val="auto"/>
        </w:rPr>
      </w:pPr>
    </w:p>
    <w:p>
      <w:pPr>
        <w:ind w:left="1800" w:right="1519" w:hanging="141"/>
        <w:spacing w:after="0" w:line="266"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4"/>
          <w:szCs w:val="14"/>
          <w:color w:val="auto"/>
        </w:rPr>
      </w:pPr>
    </w:p>
    <w:p>
      <w:pPr>
        <w:ind w:left="1800" w:right="1419" w:hanging="141"/>
        <w:spacing w:after="0" w:line="255"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1"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74" w:lineRule="exact"/>
        <w:rPr>
          <w:rFonts w:ascii="Times New Roman" w:cs="Times New Roman" w:eastAsia="Times New Roman" w:hAnsi="Times New Roman"/>
          <w:sz w:val="14"/>
          <w:szCs w:val="14"/>
          <w:color w:val="auto"/>
        </w:rPr>
      </w:pPr>
    </w:p>
    <w:p>
      <w:pPr>
        <w:ind w:left="1800" w:right="1439" w:hanging="141"/>
        <w:spacing w:after="0" w:line="252"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2" w:lineRule="exact"/>
        <w:rPr>
          <w:rFonts w:ascii="Times New Roman" w:cs="Times New Roman" w:eastAsia="Times New Roman" w:hAnsi="Times New Roman"/>
          <w:sz w:val="14"/>
          <w:szCs w:val="14"/>
          <w:color w:val="auto"/>
        </w:rPr>
      </w:pPr>
    </w:p>
    <w:p>
      <w:pPr>
        <w:ind w:left="1800" w:right="1439" w:hanging="141"/>
        <w:spacing w:after="0" w:line="266"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53" w:lineRule="exact"/>
        <w:rPr>
          <w:rFonts w:ascii="Times New Roman" w:cs="Times New Roman" w:eastAsia="Times New Roman" w:hAnsi="Times New Roman"/>
          <w:sz w:val="14"/>
          <w:szCs w:val="14"/>
          <w:color w:val="auto"/>
        </w:rPr>
      </w:pPr>
    </w:p>
    <w:p>
      <w:pPr>
        <w:ind w:left="1800" w:right="1499" w:hanging="141"/>
        <w:spacing w:after="0" w:line="252"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75" w:lineRule="exact"/>
        <w:rPr>
          <w:sz w:val="20"/>
          <w:szCs w:val="20"/>
          <w:color w:val="auto"/>
        </w:rPr>
      </w:pPr>
    </w:p>
    <w:p>
      <w:pPr>
        <w:ind w:left="1380" w:right="1419" w:firstLine="273"/>
        <w:spacing w:after="0" w:line="238"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75" w:lineRule="exact"/>
        <w:rPr>
          <w:sz w:val="20"/>
          <w:szCs w:val="20"/>
          <w:color w:val="auto"/>
        </w:rPr>
      </w:pPr>
    </w:p>
    <w:p>
      <w:pPr>
        <w:ind w:left="1380" w:right="1399" w:firstLine="273"/>
        <w:spacing w:after="0" w:line="237"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50" w:lineRule="exact"/>
        <w:rPr>
          <w:sz w:val="20"/>
          <w:szCs w:val="20"/>
          <w:color w:val="auto"/>
        </w:rPr>
      </w:pPr>
    </w:p>
    <w:p>
      <w:pPr>
        <w:ind w:left="1380" w:right="1439" w:firstLine="273"/>
        <w:spacing w:after="0" w:line="237"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(Section 8.3)</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4" w:name="page25"/>
    <w:bookmarkEnd w:id="24"/>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right="1739" w:firstLine="273"/>
        <w:spacing w:after="0" w:line="272"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of the applicable series of debt securities, upon compliance with certain conditions:</w:t>
      </w:r>
    </w:p>
    <w:p>
      <w:pPr>
        <w:spacing w:after="0" w:line="49" w:lineRule="exact"/>
        <w:rPr>
          <w:sz w:val="20"/>
          <w:szCs w:val="20"/>
          <w:color w:val="auto"/>
        </w:rPr>
      </w:pPr>
    </w:p>
    <w:p>
      <w:pPr>
        <w:ind w:left="1800" w:right="1539" w:hanging="141"/>
        <w:spacing w:after="0" w:line="255"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1" w:lineRule="exact"/>
        <w:rPr>
          <w:rFonts w:ascii="Times New Roman" w:cs="Times New Roman" w:eastAsia="Times New Roman" w:hAnsi="Times New Roman"/>
          <w:sz w:val="14"/>
          <w:szCs w:val="14"/>
          <w:color w:val="auto"/>
        </w:rPr>
      </w:pPr>
    </w:p>
    <w:p>
      <w:pPr>
        <w:ind w:left="1800" w:right="1659" w:hanging="141"/>
        <w:spacing w:after="0" w:line="266"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85" w:lineRule="exact"/>
        <w:rPr>
          <w:sz w:val="20"/>
          <w:szCs w:val="20"/>
          <w:color w:val="auto"/>
        </w:rPr>
      </w:pPr>
    </w:p>
    <w:p>
      <w:pPr>
        <w:ind w:left="1800" w:right="1419" w:hanging="141"/>
        <w:spacing w:after="0" w:line="247"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69" w:lineRule="exact"/>
        <w:rPr>
          <w:rFonts w:ascii="Times New Roman" w:cs="Times New Roman" w:eastAsia="Times New Roman" w:hAnsi="Times New Roman"/>
          <w:sz w:val="14"/>
          <w:szCs w:val="14"/>
          <w:color w:val="auto"/>
        </w:rPr>
      </w:pPr>
    </w:p>
    <w:p>
      <w:pPr>
        <w:ind w:left="1800" w:right="1459" w:hanging="141"/>
        <w:spacing w:after="0" w:line="250"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4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79" w:lineRule="exact"/>
        <w:rPr>
          <w:sz w:val="20"/>
          <w:szCs w:val="20"/>
          <w:color w:val="auto"/>
        </w:rPr>
      </w:pPr>
    </w:p>
    <w:p>
      <w:pPr>
        <w:ind w:left="1380" w:right="1439" w:firstLine="273"/>
        <w:spacing w:after="0" w:line="249"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69" w:lineRule="exact"/>
        <w:rPr>
          <w:sz w:val="20"/>
          <w:szCs w:val="20"/>
          <w:color w:val="auto"/>
        </w:rPr>
      </w:pPr>
    </w:p>
    <w:p>
      <w:pPr>
        <w:ind w:left="1380" w:right="1579" w:firstLine="273"/>
        <w:spacing w:after="0" w:line="266"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43" w:lineRule="exact"/>
        <w:rPr>
          <w:sz w:val="20"/>
          <w:szCs w:val="20"/>
          <w:color w:val="auto"/>
        </w:rPr>
      </w:pPr>
    </w:p>
    <w:p>
      <w:pPr>
        <w:ind w:left="1380" w:right="1579" w:firstLine="273"/>
        <w:spacing w:after="0" w:line="252"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52" w:lineRule="exact"/>
        <w:rPr>
          <w:sz w:val="20"/>
          <w:szCs w:val="20"/>
          <w:color w:val="auto"/>
        </w:rPr>
      </w:pPr>
    </w:p>
    <w:p>
      <w:pPr>
        <w:ind w:left="1380" w:right="1419" w:firstLine="273"/>
        <w:spacing w:after="0" w:line="246"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5" w:name="page26"/>
    <w:bookmarkEnd w:id="25"/>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79" w:lineRule="exact"/>
        <w:rPr>
          <w:sz w:val="20"/>
          <w:szCs w:val="20"/>
          <w:color w:val="auto"/>
        </w:rPr>
      </w:pPr>
    </w:p>
    <w:p>
      <w:pPr>
        <w:ind w:left="1380" w:right="1439" w:firstLine="273"/>
        <w:spacing w:after="0" w:line="237" w:lineRule="auto"/>
        <w:rPr>
          <w:sz w:val="20"/>
          <w:szCs w:val="20"/>
          <w:color w:val="auto"/>
        </w:rPr>
      </w:pPr>
      <w:r>
        <w:rPr>
          <w:rFonts w:ascii="Times New Roman" w:cs="Times New Roman" w:eastAsia="Times New Roman" w:hAnsi="Times New Roman"/>
          <w:sz w:val="14"/>
          <w:szCs w:val="14"/>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52" w:lineRule="exact"/>
        <w:rPr>
          <w:sz w:val="20"/>
          <w:szCs w:val="20"/>
          <w:color w:val="auto"/>
        </w:rPr>
      </w:pPr>
    </w:p>
    <w:p>
      <w:pPr>
        <w:ind w:left="1380" w:right="1439" w:firstLine="273"/>
        <w:spacing w:after="0" w:line="251" w:lineRule="auto"/>
        <w:rPr>
          <w:sz w:val="20"/>
          <w:szCs w:val="20"/>
          <w:color w:val="auto"/>
        </w:rPr>
      </w:pPr>
      <w:r>
        <w:rPr>
          <w:rFonts w:ascii="Times New Roman" w:cs="Times New Roman" w:eastAsia="Times New Roman" w:hAnsi="Times New Roman"/>
          <w:sz w:val="14"/>
          <w:szCs w:val="14"/>
          <w:color w:val="auto"/>
        </w:rPr>
        <w:t>The particular terms of any issue of warrants will be described in the prospectus supplement relating to the issue. Those terms may include:</w:t>
      </w:r>
    </w:p>
    <w:p>
      <w:pPr>
        <w:spacing w:after="0" w:line="43" w:lineRule="exact"/>
        <w:rPr>
          <w:sz w:val="20"/>
          <w:szCs w:val="20"/>
          <w:color w:val="auto"/>
        </w:rPr>
      </w:pPr>
    </w:p>
    <w:p>
      <w:pPr>
        <w:ind w:left="1800" w:right="1499" w:hanging="141"/>
        <w:spacing w:after="0" w:line="255"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purchasable upon the exercise of warrants to purchase such shares and the price at which such number of shares may be purchased upon such exercise;</w:t>
      </w:r>
    </w:p>
    <w:p>
      <w:pPr>
        <w:spacing w:after="0" w:line="40" w:lineRule="exact"/>
        <w:rPr>
          <w:rFonts w:ascii="Times New Roman" w:cs="Times New Roman" w:eastAsia="Times New Roman" w:hAnsi="Times New Roman"/>
          <w:sz w:val="14"/>
          <w:szCs w:val="14"/>
          <w:color w:val="auto"/>
        </w:rPr>
      </w:pPr>
    </w:p>
    <w:p>
      <w:pPr>
        <w:ind w:left="1800" w:right="1519" w:hanging="141"/>
        <w:spacing w:after="0" w:line="255"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terms (including, without limitation, liquidation, dividend, conversion and voting rights) of the series of preferred stock purchasable upon exercise of warrants to purchase preferred stock;</w:t>
      </w:r>
    </w:p>
    <w:p>
      <w:pPr>
        <w:spacing w:after="0" w:line="40" w:lineRule="exact"/>
        <w:rPr>
          <w:rFonts w:ascii="Times New Roman" w:cs="Times New Roman" w:eastAsia="Times New Roman" w:hAnsi="Times New Roman"/>
          <w:sz w:val="14"/>
          <w:szCs w:val="14"/>
          <w:color w:val="auto"/>
        </w:rPr>
      </w:pPr>
    </w:p>
    <w:p>
      <w:pPr>
        <w:ind w:left="1800" w:right="1399" w:hanging="141"/>
        <w:spacing w:after="0" w:line="26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that may be purchased upon exercise of a debt warrant and the exercise price for the warrants, which may be payable in cash, securities or other property;</w:t>
      </w:r>
    </w:p>
    <w:p>
      <w:pPr>
        <w:spacing w:after="0" w:line="22" w:lineRule="exact"/>
        <w:rPr>
          <w:rFonts w:ascii="Times New Roman" w:cs="Times New Roman" w:eastAsia="Times New Roman" w:hAnsi="Times New Roman"/>
          <w:sz w:val="14"/>
          <w:szCs w:val="14"/>
          <w:color w:val="auto"/>
        </w:rPr>
      </w:pPr>
    </w:p>
    <w:p>
      <w:pPr>
        <w:ind w:left="1800" w:right="1659" w:hanging="141"/>
        <w:spacing w:after="0" w:line="26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warrants and the related debt securities, preferred stock or common stock will be separately transferable;</w:t>
      </w:r>
    </w:p>
    <w:p>
      <w:pPr>
        <w:spacing w:after="0" w:line="3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64" w:lineRule="exact"/>
        <w:rPr>
          <w:rFonts w:ascii="Times New Roman" w:cs="Times New Roman" w:eastAsia="Times New Roman" w:hAnsi="Times New Roman"/>
          <w:sz w:val="14"/>
          <w:szCs w:val="14"/>
          <w:color w:val="auto"/>
        </w:rPr>
      </w:pPr>
    </w:p>
    <w:p>
      <w:pPr>
        <w:ind w:left="1800" w:right="1559" w:hanging="141"/>
        <w:spacing w:after="0" w:line="26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2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Federal income tax consequences applicable to the warrants; and</w:t>
      </w:r>
    </w:p>
    <w:p>
      <w:pPr>
        <w:spacing w:after="0" w:line="64" w:lineRule="exact"/>
        <w:rPr>
          <w:rFonts w:ascii="Times New Roman" w:cs="Times New Roman" w:eastAsia="Times New Roman" w:hAnsi="Times New Roman"/>
          <w:sz w:val="14"/>
          <w:szCs w:val="14"/>
          <w:color w:val="auto"/>
        </w:rPr>
      </w:pPr>
    </w:p>
    <w:p>
      <w:pPr>
        <w:ind w:left="1800" w:right="1719" w:hanging="141"/>
        <w:spacing w:after="0" w:line="26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exercise and settlement of the warrants.</w:t>
      </w:r>
    </w:p>
    <w:p>
      <w:pPr>
        <w:spacing w:after="0" w:line="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Holders of equity warrants will not be entitled:</w:t>
      </w:r>
    </w:p>
    <w:p>
      <w:pPr>
        <w:spacing w:after="0" w:line="65" w:lineRule="exact"/>
        <w:rPr>
          <w:sz w:val="20"/>
          <w:szCs w:val="20"/>
          <w:color w:val="auto"/>
        </w:rPr>
      </w:pPr>
    </w:p>
    <w:p>
      <w:pPr>
        <w:ind w:left="1800" w:hanging="141"/>
        <w:spacing w:after="0"/>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consent or receive dividends;</w:t>
      </w:r>
    </w:p>
    <w:p>
      <w:pPr>
        <w:spacing w:after="0" w:line="64" w:lineRule="exact"/>
        <w:rPr>
          <w:rFonts w:ascii="Times New Roman" w:cs="Times New Roman" w:eastAsia="Times New Roman" w:hAnsi="Times New Roman"/>
          <w:sz w:val="14"/>
          <w:szCs w:val="14"/>
          <w:color w:val="auto"/>
        </w:rPr>
      </w:pPr>
    </w:p>
    <w:p>
      <w:pPr>
        <w:ind w:left="1800" w:right="1679" w:hanging="141"/>
        <w:spacing w:after="0" w:line="266"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as stockholders with respect to any meeting of stockholders for the election of our directors or any other matter; or</w:t>
      </w:r>
    </w:p>
    <w:p>
      <w:pPr>
        <w:spacing w:after="0" w:line="32"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rights as stockholders of Jefferson Capital.</w:t>
      </w:r>
    </w:p>
    <w:p>
      <w:pPr>
        <w:spacing w:after="0" w:line="65" w:lineRule="exact"/>
        <w:rPr>
          <w:sz w:val="20"/>
          <w:szCs w:val="20"/>
          <w:color w:val="auto"/>
        </w:rPr>
      </w:pPr>
    </w:p>
    <w:p>
      <w:pPr>
        <w:ind w:left="1380" w:right="1439" w:firstLine="273"/>
        <w:spacing w:after="0" w:line="239" w:lineRule="auto"/>
        <w:rPr>
          <w:sz w:val="20"/>
          <w:szCs w:val="20"/>
          <w:color w:val="auto"/>
        </w:rPr>
      </w:pPr>
      <w:r>
        <w:rPr>
          <w:rFonts w:ascii="Times New Roman" w:cs="Times New Roman" w:eastAsia="Times New Roman" w:hAnsi="Times New Roman"/>
          <w:sz w:val="14"/>
          <w:szCs w:val="14"/>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54" w:lineRule="exact"/>
        <w:rPr>
          <w:sz w:val="20"/>
          <w:szCs w:val="20"/>
          <w:color w:val="auto"/>
        </w:rPr>
      </w:pPr>
    </w:p>
    <w:p>
      <w:pPr>
        <w:ind w:left="1380" w:right="1419" w:firstLine="273"/>
        <w:spacing w:after="0" w:line="237" w:lineRule="auto"/>
        <w:rPr>
          <w:sz w:val="20"/>
          <w:szCs w:val="20"/>
          <w:color w:val="auto"/>
        </w:rPr>
      </w:pPr>
      <w:r>
        <w:rPr>
          <w:rFonts w:ascii="Times New Roman" w:cs="Times New Roman" w:eastAsia="Times New Roman" w:hAnsi="Times New Roman"/>
          <w:sz w:val="14"/>
          <w:szCs w:val="14"/>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6" w:name="page27"/>
    <w:bookmarkEnd w:id="26"/>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20" w:lineRule="exact"/>
        <w:rPr>
          <w:sz w:val="20"/>
          <w:szCs w:val="20"/>
          <w:color w:val="auto"/>
        </w:rPr>
      </w:pPr>
    </w:p>
    <w:p>
      <w:pPr>
        <w:ind w:left="1380" w:right="1419" w:firstLine="273"/>
        <w:spacing w:after="0" w:line="248" w:lineRule="auto"/>
        <w:rPr>
          <w:sz w:val="20"/>
          <w:szCs w:val="20"/>
          <w:color w:val="auto"/>
        </w:rPr>
      </w:pPr>
      <w:r>
        <w:rPr>
          <w:rFonts w:ascii="Times New Roman" w:cs="Times New Roman" w:eastAsia="Times New Roman" w:hAnsi="Times New Roman"/>
          <w:sz w:val="14"/>
          <w:szCs w:val="14"/>
          <w:color w:val="auto"/>
        </w:rPr>
        <w:t>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7" w:name="page28"/>
    <w:bookmarkEnd w:id="27"/>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0" w:lineRule="exact"/>
        <w:rPr>
          <w:sz w:val="20"/>
          <w:szCs w:val="20"/>
          <w:color w:val="auto"/>
        </w:rPr>
      </w:pPr>
    </w:p>
    <w:p>
      <w:pPr>
        <w:ind w:left="1380" w:right="1419" w:firstLine="273"/>
        <w:spacing w:after="0" w:line="250"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95" w:lineRule="exact"/>
        <w:rPr>
          <w:sz w:val="20"/>
          <w:szCs w:val="20"/>
          <w:color w:val="auto"/>
        </w:rPr>
      </w:pPr>
    </w:p>
    <w:p>
      <w:pPr>
        <w:ind w:left="1380" w:right="1439" w:firstLine="273"/>
        <w:spacing w:after="0" w:line="24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90" w:lineRule="exact"/>
        <w:rPr>
          <w:sz w:val="20"/>
          <w:szCs w:val="20"/>
          <w:color w:val="auto"/>
        </w:rPr>
      </w:pPr>
    </w:p>
    <w:p>
      <w:pPr>
        <w:ind w:left="1380" w:right="1479" w:firstLine="273"/>
        <w:spacing w:after="0" w:line="266" w:lineRule="auto"/>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53" w:lineRule="exact"/>
        <w:rPr>
          <w:sz w:val="20"/>
          <w:szCs w:val="20"/>
          <w:color w:val="auto"/>
        </w:rPr>
      </w:pPr>
    </w:p>
    <w:p>
      <w:pPr>
        <w:ind w:left="1800" w:hanging="141"/>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units;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85" w:lineRule="exact"/>
        <w:rPr>
          <w:rFonts w:ascii="Times New Roman" w:cs="Times New Roman" w:eastAsia="Times New Roman" w:hAnsi="Times New Roman"/>
          <w:sz w:val="14"/>
          <w:szCs w:val="14"/>
          <w:color w:val="auto"/>
        </w:rPr>
      </w:pPr>
    </w:p>
    <w:p>
      <w:pPr>
        <w:ind w:left="1800" w:right="1519" w:hanging="141"/>
        <w:spacing w:after="0" w:line="26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units; and</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8" w:name="page29"/>
    <w:bookmarkEnd w:id="28"/>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20" w:lineRule="exact"/>
        <w:rPr>
          <w:sz w:val="20"/>
          <w:szCs w:val="20"/>
          <w:color w:val="auto"/>
        </w:rPr>
      </w:pPr>
    </w:p>
    <w:p>
      <w:pPr>
        <w:ind w:left="1380" w:right="1439" w:firstLine="273"/>
        <w:spacing w:after="0" w:line="237"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85" w:lineRule="exact"/>
        <w:rPr>
          <w:sz w:val="20"/>
          <w:szCs w:val="20"/>
          <w:color w:val="auto"/>
        </w:rPr>
      </w:pPr>
    </w:p>
    <w:p>
      <w:pPr>
        <w:ind w:left="1800" w:hanging="141"/>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74"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74"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16" w:lineRule="exact"/>
        <w:rPr>
          <w:sz w:val="20"/>
          <w:szCs w:val="20"/>
          <w:color w:val="auto"/>
        </w:rPr>
      </w:pPr>
    </w:p>
    <w:p>
      <w:pPr>
        <w:ind w:left="1380" w:right="1439" w:firstLine="273"/>
        <w:spacing w:after="0" w:line="236"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95" w:lineRule="exact"/>
        <w:rPr>
          <w:sz w:val="20"/>
          <w:szCs w:val="20"/>
          <w:color w:val="auto"/>
        </w:rPr>
      </w:pPr>
    </w:p>
    <w:p>
      <w:pPr>
        <w:ind w:left="1380" w:right="1439" w:firstLine="273"/>
        <w:spacing w:after="0" w:line="237"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93" w:lineRule="exact"/>
        <w:rPr>
          <w:sz w:val="20"/>
          <w:szCs w:val="20"/>
          <w:color w:val="auto"/>
        </w:rPr>
      </w:pPr>
    </w:p>
    <w:p>
      <w:pPr>
        <w:ind w:left="1380" w:right="1419" w:firstLine="273"/>
        <w:spacing w:after="0"/>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37" w:lineRule="exact"/>
        <w:rPr>
          <w:sz w:val="20"/>
          <w:szCs w:val="20"/>
          <w:color w:val="auto"/>
        </w:rPr>
      </w:pPr>
    </w:p>
    <w:p>
      <w:pPr>
        <w:ind w:left="1380" w:right="1479" w:firstLine="273"/>
        <w:spacing w:after="0" w:line="242"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9" w:name="page30"/>
    <w:bookmarkEnd w:id="29"/>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99" w:firstLine="273"/>
        <w:spacing w:after="0" w:line="255"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92" w:lineRule="exact"/>
        <w:rPr>
          <w:sz w:val="20"/>
          <w:szCs w:val="20"/>
          <w:color w:val="auto"/>
        </w:rPr>
      </w:pPr>
    </w:p>
    <w:p>
      <w:pPr>
        <w:ind w:left="1380" w:right="1439" w:firstLine="273"/>
        <w:spacing w:after="0" w:line="255"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92" w:lineRule="exact"/>
        <w:rPr>
          <w:sz w:val="20"/>
          <w:szCs w:val="20"/>
          <w:color w:val="auto"/>
        </w:rPr>
      </w:pPr>
    </w:p>
    <w:p>
      <w:pPr>
        <w:ind w:left="1380" w:right="1559" w:firstLine="273"/>
        <w:spacing w:after="0" w:line="250"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85" w:lineRule="exact"/>
        <w:rPr>
          <w:sz w:val="20"/>
          <w:szCs w:val="20"/>
          <w:color w:val="auto"/>
        </w:rPr>
      </w:pPr>
    </w:p>
    <w:p>
      <w:pPr>
        <w:ind w:left="1380" w:right="1499" w:firstLine="273"/>
        <w:spacing w:after="0" w:line="247"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99" w:lineRule="exact"/>
        <w:rPr>
          <w:sz w:val="20"/>
          <w:szCs w:val="20"/>
          <w:color w:val="auto"/>
        </w:rPr>
      </w:pPr>
    </w:p>
    <w:p>
      <w:pPr>
        <w:ind w:left="1380" w:right="1439" w:firstLine="273"/>
        <w:spacing w:after="0" w:line="246"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67" w:lineRule="exact"/>
        <w:rPr>
          <w:sz w:val="20"/>
          <w:szCs w:val="20"/>
          <w:color w:val="auto"/>
        </w:rPr>
      </w:pPr>
    </w:p>
    <w:p>
      <w:pPr>
        <w:ind w:left="1380" w:right="1439" w:firstLine="273"/>
        <w:spacing w:after="0" w:line="252"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83" w:lineRule="exact"/>
        <w:rPr>
          <w:sz w:val="20"/>
          <w:szCs w:val="20"/>
          <w:color w:val="auto"/>
        </w:rPr>
      </w:pPr>
    </w:p>
    <w:p>
      <w:pPr>
        <w:ind w:left="1380" w:right="1459" w:firstLine="273"/>
        <w:spacing w:after="0" w:line="255"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92" w:lineRule="exact"/>
        <w:rPr>
          <w:sz w:val="20"/>
          <w:szCs w:val="20"/>
          <w:color w:val="auto"/>
        </w:rPr>
      </w:pPr>
    </w:p>
    <w:p>
      <w:pPr>
        <w:jc w:val="both"/>
        <w:ind w:left="1380" w:right="1399" w:firstLine="273"/>
        <w:spacing w:after="0" w:line="255"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2" w:lineRule="exact"/>
        <w:rPr>
          <w:sz w:val="20"/>
          <w:szCs w:val="20"/>
          <w:color w:val="auto"/>
        </w:rPr>
      </w:pPr>
    </w:p>
    <w:p>
      <w:pPr>
        <w:ind w:left="1380" w:right="1939" w:firstLine="273"/>
        <w:spacing w:after="0" w:line="266"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53" w:lineRule="exact"/>
        <w:rPr>
          <w:sz w:val="20"/>
          <w:szCs w:val="20"/>
          <w:color w:val="auto"/>
        </w:rPr>
      </w:pPr>
    </w:p>
    <w:p>
      <w:pPr>
        <w:ind w:left="1800" w:right="1479" w:hanging="141"/>
        <w:spacing w:after="0" w:line="250"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0" w:name="page31"/>
    <w:bookmarkEnd w:id="30"/>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1579" w:hanging="141"/>
        <w:spacing w:after="0" w:line="266"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16" w:lineRule="exact"/>
        <w:rPr>
          <w:sz w:val="20"/>
          <w:szCs w:val="20"/>
          <w:color w:val="auto"/>
        </w:rPr>
      </w:pPr>
    </w:p>
    <w:p>
      <w:pPr>
        <w:ind w:left="1380" w:right="1499"/>
        <w:spacing w:after="0" w:line="249"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20" w:lineRule="exact"/>
        <w:rPr>
          <w:sz w:val="20"/>
          <w:szCs w:val="20"/>
          <w:color w:val="auto"/>
        </w:rPr>
      </w:pPr>
    </w:p>
    <w:p>
      <w:pPr>
        <w:ind w:left="1380" w:right="1419" w:firstLine="273"/>
        <w:spacing w:after="0" w:line="247"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90" w:lineRule="exact"/>
        <w:rPr>
          <w:sz w:val="20"/>
          <w:szCs w:val="20"/>
          <w:color w:val="auto"/>
        </w:rPr>
      </w:pPr>
    </w:p>
    <w:p>
      <w:pPr>
        <w:ind w:left="1380" w:right="1499" w:firstLine="273"/>
        <w:spacing w:after="0" w:line="252"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93" w:lineRule="exact"/>
        <w:rPr>
          <w:sz w:val="20"/>
          <w:szCs w:val="20"/>
          <w:color w:val="auto"/>
        </w:rPr>
      </w:pPr>
    </w:p>
    <w:p>
      <w:pPr>
        <w:ind w:left="1380" w:right="1539" w:firstLine="273"/>
        <w:spacing w:after="0" w:line="252"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93" w:lineRule="exact"/>
        <w:rPr>
          <w:sz w:val="20"/>
          <w:szCs w:val="20"/>
          <w:color w:val="auto"/>
        </w:rPr>
      </w:pPr>
    </w:p>
    <w:p>
      <w:pPr>
        <w:ind w:left="1380" w:right="1639" w:firstLine="273"/>
        <w:spacing w:after="0" w:line="252"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83" w:lineRule="exact"/>
        <w:rPr>
          <w:sz w:val="20"/>
          <w:szCs w:val="20"/>
          <w:color w:val="auto"/>
        </w:rPr>
      </w:pPr>
    </w:p>
    <w:p>
      <w:pPr>
        <w:ind w:left="1380" w:right="1419" w:firstLine="273"/>
        <w:spacing w:after="0" w:line="246"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03" w:lineRule="exact"/>
        <w:rPr>
          <w:sz w:val="20"/>
          <w:szCs w:val="20"/>
          <w:color w:val="auto"/>
        </w:rPr>
      </w:pPr>
    </w:p>
    <w:p>
      <w:pPr>
        <w:ind w:left="1380" w:right="1419" w:firstLine="273"/>
        <w:spacing w:after="0" w:line="247"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 w:name="page32"/>
    <w:bookmarkEnd w:id="31"/>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20" w:lineRule="exact"/>
        <w:rPr>
          <w:sz w:val="20"/>
          <w:szCs w:val="20"/>
          <w:color w:val="auto"/>
        </w:rPr>
      </w:pPr>
    </w:p>
    <w:p>
      <w:pPr>
        <w:ind w:left="1380" w:right="1399" w:firstLine="273"/>
        <w:spacing w:after="0" w:line="246"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2" w:name="page33"/>
    <w:bookmarkEnd w:id="32"/>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20" w:lineRule="exact"/>
        <w:rPr>
          <w:sz w:val="20"/>
          <w:szCs w:val="20"/>
          <w:color w:val="auto"/>
        </w:rPr>
      </w:pPr>
    </w:p>
    <w:p>
      <w:pPr>
        <w:ind w:left="1380" w:right="1599" w:firstLine="273"/>
        <w:spacing w:after="0" w:line="239" w:lineRule="auto"/>
        <w:rPr>
          <w:sz w:val="20"/>
          <w:szCs w:val="20"/>
          <w:color w:val="auto"/>
        </w:rPr>
      </w:pPr>
      <w:r>
        <w:rPr>
          <w:rFonts w:ascii="Times New Roman" w:cs="Times New Roman" w:eastAsia="Times New Roman" w:hAnsi="Times New Roman"/>
          <w:sz w:val="14"/>
          <w:szCs w:val="14"/>
          <w:color w:val="auto"/>
        </w:rPr>
        <w:t>This prospectus relates to the offer and resale from time to time by the Selling Stockholders of up to 32,721,807 shares of our common stock held by the Selling Stockholders. When we refer to the “Selling Stockholders” in this prospectus, we mean the persons and entities listed in the table below, and the pledgee(s), donee(s), transferee(s), assignee(s), successor(s) and others who later come to hold any of the Selling Stockholders’ interest in our securities after the date of this prospectus.</w:t>
      </w:r>
    </w:p>
    <w:p>
      <w:pPr>
        <w:spacing w:after="0" w:line="91" w:lineRule="exact"/>
        <w:rPr>
          <w:sz w:val="20"/>
          <w:szCs w:val="20"/>
          <w:color w:val="auto"/>
        </w:rPr>
      </w:pPr>
    </w:p>
    <w:p>
      <w:pPr>
        <w:ind w:left="1380" w:right="1419" w:firstLine="273"/>
        <w:spacing w:after="0" w:line="266" w:lineRule="auto"/>
        <w:rPr>
          <w:sz w:val="20"/>
          <w:szCs w:val="20"/>
          <w:color w:val="auto"/>
        </w:rPr>
      </w:pPr>
      <w:r>
        <w:rPr>
          <w:rFonts w:ascii="Times New Roman" w:cs="Times New Roman" w:eastAsia="Times New Roman" w:hAnsi="Times New Roman"/>
          <w:sz w:val="14"/>
          <w:szCs w:val="14"/>
          <w:color w:val="auto"/>
        </w:rPr>
        <w:t>The Selling Stockholders may from time to time offer and sell any or all of the shares of common stock set forth below pursuant to this prospectus and any applicable prospectus supplement.</w:t>
      </w:r>
    </w:p>
    <w:p>
      <w:pPr>
        <w:spacing w:after="0" w:line="74" w:lineRule="exact"/>
        <w:rPr>
          <w:sz w:val="20"/>
          <w:szCs w:val="20"/>
          <w:color w:val="auto"/>
        </w:rPr>
      </w:pPr>
    </w:p>
    <w:p>
      <w:pPr>
        <w:ind w:left="1380" w:right="1399" w:firstLine="273"/>
        <w:spacing w:after="0" w:line="247" w:lineRule="auto"/>
        <w:rPr>
          <w:sz w:val="20"/>
          <w:szCs w:val="20"/>
          <w:color w:val="auto"/>
        </w:rPr>
      </w:pPr>
      <w:r>
        <w:rPr>
          <w:rFonts w:ascii="Times New Roman" w:cs="Times New Roman" w:eastAsia="Times New Roman" w:hAnsi="Times New Roman"/>
          <w:sz w:val="14"/>
          <w:szCs w:val="14"/>
          <w:color w:val="auto"/>
        </w:rPr>
        <w:t>The following table sets forth, as of June 30, 2026, the names of the Selling Stockholders, the aggregate number of shares of common stock beneficially owned by the Selling Stockholders, the number of shares of common stock that may be sold by the Selling Stockholders under this prospectus and the number of shares of common stock that the Selling Stockholders will beneficially own after this offering. Applicable percentage ownership is based on 61,613,573 shares of common stock outstanding as of June 30, 2026. For purposes of the table below, we have assumed that after this offering, none of the shares of common stock covered by this prospectus will be beneficially owned by the Selling Stockholders. In addition, we assume that the Selling Stockholders have not sold, transferred or otherwise disposed of, our securities in transactions exempt from the registration requirements of the Securities Act.</w:t>
      </w:r>
    </w:p>
    <w:p>
      <w:pPr>
        <w:spacing w:after="0" w:line="89" w:lineRule="exact"/>
        <w:rPr>
          <w:sz w:val="20"/>
          <w:szCs w:val="20"/>
          <w:color w:val="auto"/>
        </w:rPr>
      </w:pPr>
    </w:p>
    <w:p>
      <w:pPr>
        <w:ind w:left="1380" w:right="1459" w:firstLine="273"/>
        <w:spacing w:after="0" w:line="248" w:lineRule="auto"/>
        <w:rPr>
          <w:sz w:val="20"/>
          <w:szCs w:val="20"/>
          <w:color w:val="auto"/>
        </w:rPr>
      </w:pPr>
      <w:r>
        <w:rPr>
          <w:rFonts w:ascii="Times New Roman" w:cs="Times New Roman" w:eastAsia="Times New Roman" w:hAnsi="Times New Roman"/>
          <w:sz w:val="14"/>
          <w:szCs w:val="14"/>
          <w:color w:val="auto"/>
        </w:rPr>
        <w:t>We cannot advise you as to whether the Selling Stockholders will sell any or all of such shares of common stock. The Selling Stockholders are not making any representation that any securities covered by this prospectus will be offered for sale. The Selling Stockholders reserve the right to accept or reject, in whole or in part, any proposed sale of the securities. In addition, the Selling Stockholders may sell, transfer or otherwise dispose of, at any time and from time to time, the shares of common stock in transactions exempt from the registration requirements of the Securities Act after the date of this prospectus, subject to applicable law.</w:t>
      </w:r>
    </w:p>
    <w:p>
      <w:pPr>
        <w:spacing w:after="0" w:line="97" w:lineRule="exact"/>
        <w:rPr>
          <w:sz w:val="20"/>
          <w:szCs w:val="20"/>
          <w:color w:val="auto"/>
        </w:rPr>
      </w:pPr>
    </w:p>
    <w:p>
      <w:pPr>
        <w:ind w:left="1380" w:right="1459" w:firstLine="273"/>
        <w:spacing w:after="0" w:line="250" w:lineRule="auto"/>
        <w:rPr>
          <w:sz w:val="20"/>
          <w:szCs w:val="20"/>
          <w:color w:val="auto"/>
        </w:rPr>
      </w:pPr>
      <w:r>
        <w:rPr>
          <w:rFonts w:ascii="Times New Roman" w:cs="Times New Roman" w:eastAsia="Times New Roman" w:hAnsi="Times New Roman"/>
          <w:sz w:val="14"/>
          <w:szCs w:val="14"/>
          <w:color w:val="auto"/>
        </w:rPr>
        <w:t>Information for each additional selling stockholder, if any, will be included in a prospectus supplement to the extent required prior to the time of any offer or sale of such selling stockholders’ securities pursuant to this prospectus. Any prospectus supplement may add, update, substitute, or change the information contained in this prospectus, including the identity of each selling stockholder and the number of shares of common stock registered on its behalf.</w:t>
      </w:r>
    </w:p>
    <w:p>
      <w:pPr>
        <w:spacing w:after="0" w:line="95" w:lineRule="exact"/>
        <w:rPr>
          <w:sz w:val="20"/>
          <w:szCs w:val="20"/>
          <w:color w:val="auto"/>
        </w:rPr>
      </w:pPr>
    </w:p>
    <w:p>
      <w:pPr>
        <w:ind w:left="1380" w:right="1479" w:firstLine="273"/>
        <w:spacing w:after="0" w:line="247"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securities that they beneficially own, subject to community property laws where applicable. Except as described in the footnotes to the following table or the documents that are incorporated by reference into this prospectus, none of the persons and entities named in the table has held any position or office or had any other material relationship with us or our affiliates during the three years prior to the date of this prospectus. The description of our relationships with the Selling Stockholders and </w:t>
      </w:r>
      <w:hyperlink r:id="rId26">
        <w:r>
          <w:rPr>
            <w:rFonts w:ascii="Times New Roman" w:cs="Times New Roman" w:eastAsia="Times New Roman" w:hAnsi="Times New Roman"/>
            <w:sz w:val="14"/>
            <w:szCs w:val="14"/>
            <w:color w:val="auto"/>
          </w:rPr>
          <w:t xml:space="preserve">their affiliates set forth in “Certain Relationships and Related Person Transactions” in our </w:t>
        </w:r>
        <w:r>
          <w:rPr>
            <w:rFonts w:ascii="Times New Roman" w:cs="Times New Roman" w:eastAsia="Times New Roman" w:hAnsi="Times New Roman"/>
            <w:sz w:val="14"/>
            <w:szCs w:val="14"/>
            <w:u w:val="single" w:color="auto"/>
            <w:color w:val="0000EE"/>
          </w:rPr>
          <w:t>Definitive Proxy</w:t>
        </w:r>
      </w:hyperlink>
      <w:r>
        <w:rPr>
          <w:rFonts w:ascii="Times New Roman" w:cs="Times New Roman" w:eastAsia="Times New Roman" w:hAnsi="Times New Roman"/>
          <w:sz w:val="14"/>
          <w:szCs w:val="14"/>
          <w:color w:val="auto"/>
        </w:rPr>
        <w:t xml:space="preserve"> </w:t>
      </w:r>
      <w:hyperlink r:id="rId26">
        <w:r>
          <w:rPr>
            <w:rFonts w:ascii="Times New Roman" w:cs="Times New Roman" w:eastAsia="Times New Roman" w:hAnsi="Times New Roman"/>
            <w:sz w:val="14"/>
            <w:szCs w:val="14"/>
            <w:u w:val="single" w:color="auto"/>
            <w:color w:val="0000EE"/>
          </w:rPr>
          <w:t>Statement on Schedule 14A filed on April 21,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by reference herein.</w:t>
        </w:r>
      </w:hyperlink>
    </w:p>
    <w:p>
      <w:pPr>
        <w:spacing w:after="0" w:line="108"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right="346"/>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4"/>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center"/>
              <w:ind w:right="20"/>
              <w:spacing w:after="0" w:line="123"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4"/>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5"/>
              </w:rPr>
              <w:t>Beneficially Owned 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3"/>
            <w:vMerge w:val="restart"/>
          </w:tcPr>
          <w:p>
            <w:pPr>
              <w:jc w:val="center"/>
              <w:ind w:right="20"/>
              <w:spacing w:after="0" w:line="123"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4"/>
            <w:vMerge w:val="restart"/>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4"/>
              </w:rPr>
              <w:t>Sale of All Shares of</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2520" w:type="dxa"/>
            <w:vAlign w:val="bottom"/>
          </w:tcPr>
          <w:p>
            <w:pPr>
              <w:spacing w:after="0"/>
              <w:rPr>
                <w:sz w:val="9"/>
                <w:szCs w:val="9"/>
                <w:color w:val="auto"/>
              </w:rPr>
            </w:pPr>
          </w:p>
        </w:tc>
        <w:tc>
          <w:tcPr>
            <w:tcW w:w="1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4"/>
              </w:rPr>
              <w:t>Beneficially Owned</w:t>
            </w:r>
          </w:p>
        </w:tc>
        <w:tc>
          <w:tcPr>
            <w:tcW w:w="20" w:type="dxa"/>
            <w:vAlign w:val="bottom"/>
          </w:tcPr>
          <w:p>
            <w:pPr>
              <w:spacing w:after="0"/>
              <w:rPr>
                <w:sz w:val="9"/>
                <w:szCs w:val="9"/>
                <w:color w:val="auto"/>
              </w:rPr>
            </w:pPr>
          </w:p>
        </w:tc>
        <w:tc>
          <w:tcPr>
            <w:tcW w:w="160" w:type="dxa"/>
            <w:vAlign w:val="bottom"/>
          </w:tcPr>
          <w:p>
            <w:pPr>
              <w:jc w:val="right"/>
              <w:ind w:right="45"/>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4"/>
              </w:rPr>
              <w:t>Common Stock Offered</w:t>
            </w:r>
          </w:p>
        </w:tc>
        <w:tc>
          <w:tcPr>
            <w:tcW w:w="40" w:type="dxa"/>
            <w:vAlign w:val="bottom"/>
          </w:tcPr>
          <w:p>
            <w:pPr>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51"/>
        </w:trPr>
        <w:tc>
          <w:tcPr>
            <w:tcW w:w="2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jc w:val="center"/>
              <w:spacing w:after="0" w:line="52" w:lineRule="exact"/>
              <w:rPr>
                <w:sz w:val="20"/>
                <w:szCs w:val="20"/>
                <w:color w:val="auto"/>
              </w:rPr>
            </w:pPr>
            <w:r>
              <w:rPr>
                <w:rFonts w:ascii="Times New Roman" w:cs="Times New Roman" w:eastAsia="Times New Roman" w:hAnsi="Times New Roman"/>
                <w:sz w:val="5"/>
                <w:szCs w:val="5"/>
                <w:b w:val="1"/>
                <w:bCs w:val="1"/>
                <w:color w:val="auto"/>
              </w:rPr>
              <w:t>Registered</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Selling Stockholder</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40" w:type="dxa"/>
            <w:vAlign w:val="bottom"/>
            <w:gridSpan w:val="4"/>
          </w:tcPr>
          <w:p>
            <w:pPr>
              <w:jc w:val="right"/>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Percentage </w:t>
            </w:r>
            <w:r>
              <w:rPr>
                <w:rFonts w:ascii="Times New Roman" w:cs="Times New Roman" w:eastAsia="Times New Roman" w:hAnsi="Times New Roman"/>
                <w:sz w:val="20"/>
                <w:szCs w:val="20"/>
                <w:b w:val="1"/>
                <w:bCs w:val="1"/>
                <w:color w:val="auto"/>
                <w:vertAlign w:val="subscript"/>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Hereby</w:t>
            </w:r>
          </w:p>
        </w:tc>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3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252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Entities affiliated with JCF IV JCAP</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4"/>
                <w:szCs w:val="14"/>
                <w:color w:val="auto"/>
              </w:rPr>
              <w:t>Holding L.P.</w:t>
            </w:r>
            <w:r>
              <w:rPr>
                <w:rFonts w:ascii="Times New Roman" w:cs="Times New Roman" w:eastAsia="Times New Roman" w:hAnsi="Times New Roman"/>
                <w:sz w:val="17"/>
                <w:szCs w:val="17"/>
                <w:color w:val="auto"/>
                <w:vertAlign w:val="superscript"/>
              </w:rPr>
              <w:t>(1)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​32,721,807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​32,721,807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2"/>
        </w:trPr>
        <w:tc>
          <w:tcPr>
            <w:tcW w:w="2520" w:type="dxa"/>
            <w:vAlign w:val="bottom"/>
            <w:shd w:val="clear" w:color="auto" w:fill="CCEEFF"/>
          </w:tcPr>
          <w:p>
            <w:pPr>
              <w:spacing w:after="0"/>
              <w:rPr>
                <w:sz w:val="6"/>
                <w:szCs w:val="6"/>
                <w:color w:val="auto"/>
              </w:rPr>
            </w:pPr>
          </w:p>
        </w:tc>
        <w:tc>
          <w:tcPr>
            <w:tcW w:w="800" w:type="dxa"/>
            <w:vAlign w:val="bottom"/>
            <w:gridSpan w:val="2"/>
            <w:shd w:val="clear" w:color="auto" w:fill="CCEEFF"/>
          </w:tcPr>
          <w:p>
            <w:pPr>
              <w:ind w:left="60"/>
              <w:spacing w:after="0" w:line="72" w:lineRule="exact"/>
              <w:rPr>
                <w:sz w:val="20"/>
                <w:szCs w:val="20"/>
                <w:color w:val="auto"/>
              </w:rPr>
            </w:pPr>
            <w:r>
              <w:rPr>
                <w:rFonts w:ascii="Times New Roman" w:cs="Times New Roman" w:eastAsia="Times New Roman" w:hAnsi="Times New Roman"/>
                <w:sz w:val="8"/>
                <w:szCs w:val="8"/>
                <w:color w:val="auto"/>
              </w:rPr>
              <w:t>​ ​​</w:t>
            </w:r>
          </w:p>
        </w:tc>
        <w:tc>
          <w:tcPr>
            <w:tcW w:w="660" w:type="dxa"/>
            <w:vAlign w:val="bottom"/>
            <w:gridSpan w:val="2"/>
            <w:shd w:val="clear" w:color="auto" w:fill="CCEEFF"/>
          </w:tcPr>
          <w:p>
            <w:pPr>
              <w:jc w:val="right"/>
              <w:ind w:right="320"/>
              <w:spacing w:after="0" w:line="72" w:lineRule="exact"/>
              <w:rPr>
                <w:sz w:val="20"/>
                <w:szCs w:val="20"/>
                <w:color w:val="auto"/>
              </w:rPr>
            </w:pPr>
            <w:r>
              <w:rPr>
                <w:rFonts w:ascii="Times New Roman" w:cs="Times New Roman" w:eastAsia="Times New Roman" w:hAnsi="Times New Roman"/>
                <w:sz w:val="8"/>
                <w:szCs w:val="8"/>
                <w:color w:val="auto"/>
              </w:rPr>
              <w:t>​​ ​  ​</w:t>
            </w:r>
          </w:p>
        </w:tc>
        <w:tc>
          <w:tcPr>
            <w:tcW w:w="180" w:type="dxa"/>
            <w:vAlign w:val="bottom"/>
            <w:gridSpan w:val="2"/>
            <w:vMerge w:val="continue"/>
            <w:shd w:val="clear" w:color="auto" w:fill="CCEEFF"/>
          </w:tcPr>
          <w:p>
            <w:pPr>
              <w:spacing w:after="0"/>
              <w:rPr>
                <w:sz w:val="6"/>
                <w:szCs w:val="6"/>
                <w:color w:val="auto"/>
              </w:rPr>
            </w:pPr>
          </w:p>
        </w:tc>
        <w:tc>
          <w:tcPr>
            <w:tcW w:w="700" w:type="dxa"/>
            <w:vAlign w:val="bottom"/>
            <w:shd w:val="clear" w:color="auto" w:fill="CCEEFF"/>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ind w:left="120"/>
              <w:spacing w:after="0" w:line="72"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shd w:val="clear" w:color="auto" w:fill="CCEEFF"/>
          </w:tcPr>
          <w:p>
            <w:pPr>
              <w:spacing w:after="0"/>
              <w:rPr>
                <w:sz w:val="6"/>
                <w:szCs w:val="6"/>
                <w:color w:val="auto"/>
              </w:rPr>
            </w:pPr>
          </w:p>
        </w:tc>
        <w:tc>
          <w:tcPr>
            <w:tcW w:w="620" w:type="dxa"/>
            <w:vAlign w:val="bottom"/>
            <w:shd w:val="clear" w:color="auto" w:fill="CCEEFF"/>
          </w:tcPr>
          <w:p>
            <w:pPr>
              <w:ind w:left="240"/>
              <w:spacing w:after="0" w:line="72"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-253365</wp:posOffset>
            </wp:positionV>
            <wp:extent cx="10414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-253365</wp:posOffset>
            </wp:positionV>
            <wp:extent cx="10414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-253365</wp:posOffset>
            </wp:positionV>
            <wp:extent cx="10414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-253365</wp:posOffset>
            </wp:positionV>
            <wp:extent cx="10414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-253365</wp:posOffset>
            </wp:positionV>
            <wp:extent cx="10414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110490</wp:posOffset>
            </wp:positionV>
            <wp:extent cx="93789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65" w:lineRule="exact"/>
        <w:rPr>
          <w:sz w:val="20"/>
          <w:szCs w:val="20"/>
          <w:color w:val="auto"/>
        </w:rPr>
      </w:pPr>
    </w:p>
    <w:p>
      <w:pPr>
        <w:ind w:left="1660" w:right="1479" w:hanging="274"/>
        <w:spacing w:after="0" w:line="255"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May 8, 2026 and information provided to the Company. Consists of 32,721,807 shares held directly by JCF IV JCAP Holding L.P. The general partner of JCF IV JCAP Holding L.P. is JCF IV JCAP Holding GP LLC. The managing member of</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3" w:name="page34"/>
    <w:bookmarkEnd w:id="33"/>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60" w:right="1439"/>
        <w:spacing w:after="0" w:line="247" w:lineRule="auto"/>
        <w:rPr>
          <w:sz w:val="20"/>
          <w:szCs w:val="20"/>
          <w:color w:val="auto"/>
        </w:rPr>
      </w:pPr>
      <w:r>
        <w:rPr>
          <w:rFonts w:ascii="Times New Roman" w:cs="Times New Roman" w:eastAsia="Times New Roman" w:hAnsi="Times New Roman"/>
          <w:sz w:val="14"/>
          <w:szCs w:val="14"/>
          <w:color w:val="auto"/>
        </w:rPr>
        <w:t>JCF IV JCAP Holding GP LLC is JCF Associates IV L.P. The general partner of JCF Associates IV L.P. is JCF Associates IV Ltd. J. Christopher Flowers controls JCF Associates IV Ltd and thus may be deemed to control each entity directly or indirectly controlled by JCF Associates IV Ltd, including JCF IV JCAP Holding L.P. Each of JCF IV JCAP Holding L.P., JCF IV JCAP Holding GP LLC and JCF Associates IV L.P. have shared voting and dispositive power over 32,721,807 shares. Each of JCF Associates IV Ltd and J. Christopher Flowers has sole voting and dispositive power over 32,721,807 shares. The principal business office of each of the foregoing entities and person is c/o J.C. Flowers &amp; Co., 1301 Avenue of the Americas, 16th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4" w:name="page35"/>
    <w:bookmarkEnd w:id="34"/>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0" w:lineRule="exact"/>
        <w:rPr>
          <w:sz w:val="20"/>
          <w:szCs w:val="20"/>
          <w:color w:val="auto"/>
        </w:rPr>
      </w:pPr>
    </w:p>
    <w:p>
      <w:pPr>
        <w:ind w:left="1380" w:right="1459" w:firstLine="273"/>
        <w:spacing w:after="0" w:line="238" w:lineRule="auto"/>
        <w:rPr>
          <w:sz w:val="20"/>
          <w:szCs w:val="20"/>
          <w:color w:val="auto"/>
        </w:rPr>
      </w:pPr>
      <w:r>
        <w:rPr>
          <w:rFonts w:ascii="Times New Roman" w:cs="Times New Roman" w:eastAsia="Times New Roman" w:hAnsi="Times New Roman"/>
          <w:sz w:val="14"/>
          <w:szCs w:val="14"/>
          <w:color w:val="auto"/>
        </w:rPr>
        <w:t>We or the Selling Stockholders may sell the securities from time to time pursuant to underwritten public offerings, negotiated transactions, block trades or a combination of these methods or through underwriters or dealers, through agents and/or directly to one or more purchasers. We are registering the resale of shares of our common stock to provide the Selling Stockholders with the ability to freely trade their securities, but the registration of such shares does not necessarily mean that any of such shares will be offered or sold by the Selling Stockholders pursuant to this prospectus supplement or at all. The securities may be distributed from time to time in one or more transactions:</w:t>
      </w:r>
    </w:p>
    <w:p>
      <w:pPr>
        <w:spacing w:after="0" w:line="62" w:lineRule="exact"/>
        <w:rPr>
          <w:sz w:val="20"/>
          <w:szCs w:val="20"/>
          <w:color w:val="auto"/>
        </w:rPr>
      </w:pPr>
    </w:p>
    <w:p>
      <w:pPr>
        <w:ind w:left="1800" w:hanging="141"/>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85" w:lineRule="exact"/>
        <w:rPr>
          <w:rFonts w:ascii="Times New Roman" w:cs="Times New Roman" w:eastAsia="Times New Roman" w:hAnsi="Times New Roman"/>
          <w:sz w:val="14"/>
          <w:szCs w:val="14"/>
          <w:color w:val="auto"/>
        </w:rPr>
      </w:pPr>
    </w:p>
    <w:p>
      <w:pPr>
        <w:ind w:left="1800" w:hanging="141"/>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06" w:lineRule="exact"/>
        <w:rPr>
          <w:sz w:val="20"/>
          <w:szCs w:val="20"/>
          <w:color w:val="auto"/>
        </w:rPr>
      </w:pPr>
    </w:p>
    <w:p>
      <w:pPr>
        <w:ind w:left="1380" w:right="1399" w:firstLine="273"/>
        <w:spacing w:after="0" w:line="238" w:lineRule="auto"/>
        <w:rPr>
          <w:sz w:val="20"/>
          <w:szCs w:val="20"/>
          <w:color w:val="auto"/>
        </w:rPr>
      </w:pPr>
      <w:r>
        <w:rPr>
          <w:rFonts w:ascii="Times New Roman" w:cs="Times New Roman" w:eastAsia="Times New Roman" w:hAnsi="Times New Roman"/>
          <w:sz w:val="14"/>
          <w:szCs w:val="14"/>
          <w:color w:val="auto"/>
        </w:rPr>
        <w:t>Each time that we or any of the Selling Stockholders sell securities covered by this prospectus, we or the Selling Stockholders will, if required, provide a prospectus supplement or supplements that will describe the method of distribution and set forth the terms and conditions of the offering of such securities, including the type of securities offered, the offering price of the securities, the name of any underwriter, dealer, remarketing firm or agent and the amount of securities underwritten or purchased by each of them, any over-allotment options under which underwriters may purchase additional securities from us, any underwriting discounts, agency fees or other compensation to underwriters or agents, any discounts or concessions allowed or reallowed or paid to dealers, the names of the securities exchanges, if any, on which the securities are listed, and the proceeds to us or the Selling Stockholders, if applicable.</w:t>
      </w:r>
    </w:p>
    <w:p>
      <w:pPr>
        <w:spacing w:after="0" w:line="92" w:lineRule="exact"/>
        <w:rPr>
          <w:sz w:val="20"/>
          <w:szCs w:val="20"/>
          <w:color w:val="auto"/>
        </w:rPr>
      </w:pPr>
    </w:p>
    <w:p>
      <w:pPr>
        <w:ind w:left="1380" w:right="1439" w:firstLine="273"/>
        <w:spacing w:after="0" w:line="248" w:lineRule="auto"/>
        <w:rPr>
          <w:sz w:val="20"/>
          <w:szCs w:val="20"/>
          <w:color w:val="auto"/>
        </w:rPr>
      </w:pPr>
      <w:r>
        <w:rPr>
          <w:rFonts w:ascii="Times New Roman" w:cs="Times New Roman" w:eastAsia="Times New Roman" w:hAnsi="Times New Roman"/>
          <w:sz w:val="14"/>
          <w:szCs w:val="14"/>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86" w:lineRule="exact"/>
        <w:rPr>
          <w:sz w:val="20"/>
          <w:szCs w:val="20"/>
          <w:color w:val="auto"/>
        </w:rPr>
      </w:pPr>
    </w:p>
    <w:p>
      <w:pPr>
        <w:jc w:val="both"/>
        <w:ind w:left="1380" w:right="1459" w:firstLine="273"/>
        <w:spacing w:after="0"/>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91" w:lineRule="exact"/>
        <w:rPr>
          <w:sz w:val="20"/>
          <w:szCs w:val="20"/>
          <w:color w:val="auto"/>
        </w:rPr>
      </w:pPr>
    </w:p>
    <w:p>
      <w:pPr>
        <w:ind w:left="1380" w:right="1479" w:firstLine="273"/>
        <w:spacing w:after="0" w:line="246" w:lineRule="auto"/>
        <w:rPr>
          <w:sz w:val="20"/>
          <w:szCs w:val="20"/>
          <w:color w:val="auto"/>
        </w:rPr>
      </w:pPr>
      <w:r>
        <w:rPr>
          <w:rFonts w:ascii="Times New Roman" w:cs="Times New Roman" w:eastAsia="Times New Roman" w:hAnsi="Times New Roman"/>
          <w:sz w:val="14"/>
          <w:szCs w:val="14"/>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Stockholders,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268" w:lineRule="exact"/>
        <w:rPr>
          <w:sz w:val="20"/>
          <w:szCs w:val="20"/>
          <w:color w:val="auto"/>
        </w:rPr>
      </w:pPr>
    </w:p>
    <w:p>
      <w:pPr>
        <w:ind w:left="1380" w:right="1399" w:firstLine="273"/>
        <w:spacing w:after="0" w:line="247" w:lineRule="auto"/>
        <w:rPr>
          <w:sz w:val="20"/>
          <w:szCs w:val="20"/>
          <w:color w:val="auto"/>
        </w:rPr>
      </w:pPr>
      <w:r>
        <w:rPr>
          <w:rFonts w:ascii="Times New Roman" w:cs="Times New Roman" w:eastAsia="Times New Roman" w:hAnsi="Times New Roman"/>
          <w:sz w:val="14"/>
          <w:szCs w:val="14"/>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Stockholders,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99" w:lineRule="exact"/>
        <w:rPr>
          <w:sz w:val="20"/>
          <w:szCs w:val="20"/>
          <w:color w:val="auto"/>
        </w:rPr>
      </w:pPr>
    </w:p>
    <w:p>
      <w:pPr>
        <w:ind w:left="1380" w:right="1499" w:firstLine="273"/>
        <w:spacing w:after="0" w:line="266" w:lineRule="auto"/>
        <w:rPr>
          <w:sz w:val="20"/>
          <w:szCs w:val="20"/>
          <w:color w:val="auto"/>
        </w:rPr>
      </w:pPr>
      <w:r>
        <w:rPr>
          <w:rFonts w:ascii="Times New Roman" w:cs="Times New Roman" w:eastAsia="Times New Roman" w:hAnsi="Times New Roman"/>
          <w:sz w:val="14"/>
          <w:szCs w:val="14"/>
          <w:color w:val="auto"/>
        </w:rPr>
        <w:t>Any common stock will be listed on the Nasdaq Global Select Market, but any other securities may or may not be listed on a national securities exchange. To facilitate the offering of securities, certain persons</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5" w:name="page36"/>
    <w:bookmarkEnd w:id="35"/>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399"/>
        <w:spacing w:after="0" w:line="247" w:lineRule="auto"/>
        <w:rPr>
          <w:sz w:val="20"/>
          <w:szCs w:val="20"/>
          <w:color w:val="auto"/>
        </w:rPr>
      </w:pPr>
      <w:r>
        <w:rPr>
          <w:rFonts w:ascii="Times New Roman" w:cs="Times New Roman" w:eastAsia="Times New Roman" w:hAnsi="Times New Roman"/>
          <w:sz w:val="14"/>
          <w:szCs w:val="14"/>
          <w:color w:val="auto"/>
        </w:rPr>
        <w:t>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97" w:lineRule="exact"/>
        <w:rPr>
          <w:sz w:val="20"/>
          <w:szCs w:val="20"/>
          <w:color w:val="auto"/>
        </w:rPr>
      </w:pPr>
    </w:p>
    <w:p>
      <w:pPr>
        <w:ind w:left="1380" w:right="1419" w:firstLine="273"/>
        <w:spacing w:after="0" w:line="246" w:lineRule="auto"/>
        <w:rPr>
          <w:sz w:val="20"/>
          <w:szCs w:val="20"/>
          <w:color w:val="auto"/>
        </w:rPr>
      </w:pPr>
      <w:r>
        <w:rPr>
          <w:rFonts w:ascii="Times New Roman" w:cs="Times New Roman" w:eastAsia="Times New Roman" w:hAnsi="Times New Roman"/>
          <w:sz w:val="14"/>
          <w:szCs w:val="14"/>
          <w:color w:val="auto"/>
        </w:rPr>
        <w:t>We, or the Selling Stockholders, may engage in at the market offerings into an existing trading market in accordance with Rule 415(a)(4) under the Securities Act. In addition, we, or the Selling Stockholders, may enter into derivative or hedging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the Selling Stockholders,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00" w:lineRule="exact"/>
        <w:rPr>
          <w:sz w:val="20"/>
          <w:szCs w:val="20"/>
          <w:color w:val="auto"/>
        </w:rPr>
      </w:pPr>
    </w:p>
    <w:p>
      <w:pPr>
        <w:ind w:left="1380" w:right="1579" w:firstLine="273"/>
        <w:spacing w:after="0" w:line="266" w:lineRule="auto"/>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74" w:lineRule="exact"/>
        <w:rPr>
          <w:sz w:val="20"/>
          <w:szCs w:val="20"/>
          <w:color w:val="auto"/>
        </w:rPr>
      </w:pPr>
    </w:p>
    <w:p>
      <w:pPr>
        <w:ind w:left="1380" w:right="1419" w:firstLine="273"/>
        <w:spacing w:after="0" w:line="255" w:lineRule="auto"/>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the Selling Stockholders, or perform services for us or the Selling Stockholders, in the ordinary course of business for which they receive compensation.</w:t>
      </w:r>
    </w:p>
    <w:p>
      <w:pPr>
        <w:spacing w:after="0" w:line="92" w:lineRule="exact"/>
        <w:rPr>
          <w:sz w:val="20"/>
          <w:szCs w:val="20"/>
          <w:color w:val="auto"/>
        </w:rPr>
      </w:pPr>
    </w:p>
    <w:p>
      <w:pPr>
        <w:ind w:left="1380" w:right="1399" w:firstLine="273"/>
        <w:spacing w:after="0" w:line="249" w:lineRule="auto"/>
        <w:rPr>
          <w:sz w:val="20"/>
          <w:szCs w:val="20"/>
          <w:color w:val="auto"/>
        </w:rPr>
      </w:pPr>
      <w:r>
        <w:rPr>
          <w:rFonts w:ascii="Times New Roman" w:cs="Times New Roman" w:eastAsia="Times New Roman" w:hAnsi="Times New Roman"/>
          <w:sz w:val="14"/>
          <w:szCs w:val="14"/>
          <w:color w:val="auto"/>
        </w:rPr>
        <w:t>We may authorize agents, underwriters or dealers to solicit offers by certain specified institutions to purchase the securities to which this prospectus relates from us at the public offering price set forth in the applicable prospectus supplement, plus, if applicable, accrued interest, pursuant to delayed delivery contracts providing for payment and delivery on a specified date in the future. Such contracts will be subject only to those conditions set forth in the applicable prospectus supplement, and the applicable prospectus supplement will set forth the commission payable for solicitation of such contracts.</w:t>
      </w:r>
    </w:p>
    <w:p>
      <w:pPr>
        <w:spacing w:after="0" w:line="95" w:lineRule="exact"/>
        <w:rPr>
          <w:sz w:val="20"/>
          <w:szCs w:val="20"/>
          <w:color w:val="auto"/>
        </w:rPr>
      </w:pPr>
    </w:p>
    <w:p>
      <w:pPr>
        <w:ind w:left="1380" w:right="1539" w:firstLine="273"/>
        <w:spacing w:after="0" w:line="250"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all securities offered by this prospectus, other than our common stock which is listed on the Nasdaq Global Select Market, will be new issues with no established trading market. We may elect to list any series of securities on an exchange, but we shall not be obligated to do so. In addition, underwriters will not be obligated to make a market in any securities. No assurance can be given as to the liquidity of any trading market for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6" w:name="page37"/>
    <w:bookmarkEnd w:id="36"/>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0" w:lineRule="exact"/>
        <w:rPr>
          <w:sz w:val="20"/>
          <w:szCs w:val="20"/>
          <w:color w:val="auto"/>
        </w:rPr>
      </w:pPr>
    </w:p>
    <w:p>
      <w:pPr>
        <w:ind w:left="1380" w:right="1519" w:firstLine="273"/>
        <w:spacing w:after="0" w:line="252"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Jefferson Capital, Inc. Additional legal matters may be passed upon for us, the Selling Stockholders or any underwriters, dealers or agents, by counsel that we will name in the applicable prospectus supplement.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0" w:lineRule="exact"/>
        <w:rPr>
          <w:sz w:val="20"/>
          <w:szCs w:val="20"/>
          <w:color w:val="auto"/>
        </w:rPr>
      </w:pPr>
    </w:p>
    <w:p>
      <w:pPr>
        <w:ind w:left="1380" w:right="1459" w:firstLine="273"/>
        <w:spacing w:after="0" w:line="250" w:lineRule="auto"/>
        <w:rPr>
          <w:sz w:val="20"/>
          <w:szCs w:val="20"/>
          <w:color w:val="auto"/>
        </w:rPr>
      </w:pPr>
      <w:r>
        <w:rPr>
          <w:rFonts w:ascii="Times New Roman" w:cs="Times New Roman" w:eastAsia="Times New Roman" w:hAnsi="Times New Roman"/>
          <w:sz w:val="14"/>
          <w:szCs w:val="14"/>
          <w:color w:val="auto"/>
        </w:rPr>
        <w:t>The financial statements of Jefferson Capital, Inc. as of December 31, 2025 and 2024, and for each of the three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7" w:name="page38"/>
    <w:bookmarkEnd w:id="37"/>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16" w:lineRule="exact"/>
        <w:rPr>
          <w:sz w:val="20"/>
          <w:szCs w:val="20"/>
          <w:color w:val="auto"/>
        </w:rPr>
      </w:pPr>
    </w:p>
    <w:p>
      <w:pPr>
        <w:ind w:left="13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3"/>
          <w:szCs w:val="13"/>
          <w:b w:val="1"/>
          <w:bCs w:val="1"/>
          <w:i w:val="1"/>
          <w:iCs w:val="1"/>
          <w:color w:val="auto"/>
        </w:rPr>
        <w:t>Other Expenses of Issuance and Distribution</w:t>
      </w:r>
    </w:p>
    <w:p>
      <w:pPr>
        <w:spacing w:after="0" w:line="120" w:lineRule="exact"/>
        <w:rPr>
          <w:sz w:val="20"/>
          <w:szCs w:val="20"/>
          <w:color w:val="auto"/>
        </w:rPr>
      </w:pPr>
    </w:p>
    <w:p>
      <w:pPr>
        <w:ind w:left="1380" w:right="1459" w:firstLine="273"/>
        <w:spacing w:after="0" w:line="251"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0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​​$95,037​</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82"/>
        </w:trPr>
        <w:tc>
          <w:tcPr>
            <w:tcW w:w="5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​FINRA filing fee</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5340" w:type="dxa"/>
            <w:vAlign w:val="bottom"/>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5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Nasdaq Global Select Market supplemental listing fee</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5060" w:type="dxa"/>
            <w:vAlign w:val="bottom"/>
            <w:gridSpan w:val="2"/>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5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5340" w:type="dxa"/>
            <w:vAlign w:val="bottom"/>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5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5060" w:type="dxa"/>
            <w:vAlign w:val="bottom"/>
            <w:gridSpan w:val="2"/>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5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5340" w:type="dxa"/>
            <w:vAlign w:val="bottom"/>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5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5060" w:type="dxa"/>
            <w:vAlign w:val="bottom"/>
            <w:gridSpan w:val="2"/>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5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5340" w:type="dxa"/>
            <w:vAlign w:val="bottom"/>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5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5060" w:type="dxa"/>
            <w:vAlign w:val="bottom"/>
            <w:gridSpan w:val="2"/>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2"/>
        </w:trPr>
        <w:tc>
          <w:tcPr>
            <w:tcW w:w="5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​Warrant agent fees and expenses</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7"/>
                <w:szCs w:val="7"/>
                <w:color w:val="auto"/>
              </w:rPr>
            </w:pPr>
          </w:p>
        </w:tc>
        <w:tc>
          <w:tcPr>
            <w:tcW w:w="1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03"/>
        </w:trPr>
        <w:tc>
          <w:tcPr>
            <w:tcW w:w="5340" w:type="dxa"/>
            <w:vAlign w:val="bottom"/>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80" w:type="dxa"/>
            <w:vAlign w:val="bottom"/>
            <w:shd w:val="clear" w:color="auto" w:fill="CCEEFF"/>
          </w:tcPr>
          <w:p>
            <w:pPr>
              <w:spacing w:after="0"/>
              <w:rPr>
                <w:sz w:val="3"/>
                <w:szCs w:val="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93" w:lineRule="exact"/>
              <w:rPr>
                <w:sz w:val="20"/>
                <w:szCs w:val="20"/>
                <w:color w:val="auto"/>
              </w:rPr>
            </w:pPr>
            <w:r>
              <w:rPr>
                <w:rFonts w:ascii="Times New Roman" w:cs="Times New Roman" w:eastAsia="Times New Roman" w:hAnsi="Times New Roman"/>
                <w:sz w:val="9"/>
                <w:szCs w:val="9"/>
                <w:color w:val="auto"/>
                <w:w w:val="75"/>
              </w:rPr>
              <w:t>(1)</w:t>
            </w:r>
          </w:p>
        </w:tc>
        <w:tc>
          <w:tcPr>
            <w:tcW w:w="0" w:type="dxa"/>
            <w:vAlign w:val="bottom"/>
          </w:tcPr>
          <w:p>
            <w:pPr>
              <w:spacing w:after="0" w:line="20" w:lineRule="exact"/>
              <w:rPr>
                <w:sz w:val="1"/>
                <w:szCs w:val="1"/>
                <w:color w:val="auto"/>
              </w:rPr>
            </w:pPr>
          </w:p>
        </w:tc>
      </w:tr>
      <w:tr>
        <w:trPr>
          <w:trHeight w:val="72"/>
        </w:trPr>
        <w:tc>
          <w:tcPr>
            <w:tcW w:w="5340" w:type="dxa"/>
            <w:vAlign w:val="bottom"/>
            <w:gridSpan w:val="3"/>
            <w:vMerge w:val="restart"/>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440" w:type="dxa"/>
            <w:vAlign w:val="bottom"/>
            <w:gridSpan w:val="2"/>
            <w:vMerge w:val="restart"/>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34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280" w:type="dxa"/>
            <w:vAlign w:val="bottom"/>
            <w:gridSpan w:val="2"/>
          </w:tcPr>
          <w:p>
            <w:pPr>
              <w:ind w:left="180"/>
              <w:spacing w:after="0" w:line="82"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31"/>
        </w:trPr>
        <w:tc>
          <w:tcPr>
            <w:tcW w:w="5340" w:type="dxa"/>
            <w:vAlign w:val="bottom"/>
            <w:gridSpan w:val="3"/>
          </w:tcPr>
          <w:p>
            <w:pPr>
              <w:ind w:left="280"/>
              <w:spacing w:after="0"/>
              <w:rPr>
                <w:sz w:val="20"/>
                <w:szCs w:val="20"/>
                <w:color w:val="auto"/>
              </w:rPr>
            </w:pPr>
            <w:r>
              <w:rPr>
                <w:rFonts w:ascii="Times New Roman" w:cs="Times New Roman" w:eastAsia="Times New Roman" w:hAnsi="Times New Roman"/>
                <w:sz w:val="1"/>
                <w:szCs w:val="1"/>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rPr>
              <w:t>​ ​​</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660" w:right="1519" w:hanging="274"/>
        <w:spacing w:after="0" w:line="266"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80" w:lineRule="exact"/>
        <w:rPr>
          <w:sz w:val="20"/>
          <w:szCs w:val="20"/>
          <w:color w:val="auto"/>
        </w:rPr>
      </w:pPr>
    </w:p>
    <w:p>
      <w:pPr>
        <w:ind w:left="13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3"/>
          <w:szCs w:val="13"/>
          <w:b w:val="1"/>
          <w:bCs w:val="1"/>
          <w:i w:val="1"/>
          <w:iCs w:val="1"/>
          <w:color w:val="auto"/>
        </w:rPr>
        <w:t>Indemnification of Directors and Officers</w:t>
      </w:r>
    </w:p>
    <w:p>
      <w:pPr>
        <w:spacing w:after="0" w:line="120" w:lineRule="exact"/>
        <w:rPr>
          <w:sz w:val="20"/>
          <w:szCs w:val="20"/>
          <w:color w:val="auto"/>
        </w:rPr>
      </w:pPr>
    </w:p>
    <w:p>
      <w:pPr>
        <w:ind w:left="1380" w:right="1479" w:firstLine="273"/>
        <w:spacing w:after="0" w:line="236" w:lineRule="auto"/>
        <w:rPr>
          <w:sz w:val="20"/>
          <w:szCs w:val="20"/>
          <w:color w:val="auto"/>
        </w:rPr>
      </w:pPr>
      <w:r>
        <w:rPr>
          <w:rFonts w:ascii="Times New Roman" w:cs="Times New Roman" w:eastAsia="Times New Roman" w:hAnsi="Times New Roman"/>
          <w:sz w:val="14"/>
          <w:szCs w:val="14"/>
          <w:color w:val="auto"/>
        </w:rPr>
        <w:t>Section 145(a) of the General Corporation Law of the State of Delaware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95" w:lineRule="exact"/>
        <w:rPr>
          <w:sz w:val="20"/>
          <w:szCs w:val="20"/>
          <w:color w:val="auto"/>
        </w:rPr>
      </w:pPr>
    </w:p>
    <w:p>
      <w:pPr>
        <w:ind w:left="1380" w:right="1419" w:firstLine="273"/>
        <w:spacing w:after="0" w:line="236" w:lineRule="auto"/>
        <w:rPr>
          <w:sz w:val="20"/>
          <w:szCs w:val="20"/>
          <w:color w:val="auto"/>
        </w:rPr>
      </w:pPr>
      <w:r>
        <w:rPr>
          <w:rFonts w:ascii="Times New Roman" w:cs="Times New Roman" w:eastAsia="Times New Roman" w:hAnsi="Times New Roman"/>
          <w:sz w:val="14"/>
          <w:szCs w:val="14"/>
          <w:color w:val="auto"/>
        </w:rPr>
        <w:t>Section 145(b) of the General Corporation Law of the State of Delaware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96" w:lineRule="exact"/>
        <w:rPr>
          <w:sz w:val="20"/>
          <w:szCs w:val="20"/>
          <w:color w:val="auto"/>
        </w:rPr>
      </w:pPr>
    </w:p>
    <w:p>
      <w:pPr>
        <w:ind w:left="1380" w:right="1499" w:firstLine="273"/>
        <w:spacing w:after="0" w:line="248" w:lineRule="auto"/>
        <w:rPr>
          <w:sz w:val="20"/>
          <w:szCs w:val="20"/>
          <w:color w:val="auto"/>
        </w:rPr>
      </w:pPr>
      <w:r>
        <w:rPr>
          <w:rFonts w:ascii="Times New Roman" w:cs="Times New Roman" w:eastAsia="Times New Roman" w:hAnsi="Times New Roman"/>
          <w:sz w:val="14"/>
          <w:szCs w:val="14"/>
          <w:color w:val="auto"/>
        </w:rPr>
        <w:t>Section 145(g) of the General Corporation Law of the State of Delaware provides, in general, that a corporation may purchase and maintain insurance on behalf of any person who is or was a director, officer, employee or agent of the corporation, or is or was serving at the request of the corporation as a director,</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8" w:name="page39"/>
    <w:bookmarkEnd w:id="38"/>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right="1419"/>
        <w:spacing w:after="0" w:line="241" w:lineRule="auto"/>
        <w:rPr>
          <w:sz w:val="20"/>
          <w:szCs w:val="20"/>
          <w:color w:val="auto"/>
        </w:rPr>
      </w:pPr>
      <w:r>
        <w:rPr>
          <w:rFonts w:ascii="Times New Roman" w:cs="Times New Roman" w:eastAsia="Times New Roman" w:hAnsi="Times New Roman"/>
          <w:sz w:val="14"/>
          <w:szCs w:val="14"/>
          <w:color w:val="auto"/>
        </w:rPr>
        <w:t>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General Corporation Law of the State of Delaware.</w:t>
      </w:r>
    </w:p>
    <w:p>
      <w:pPr>
        <w:spacing w:after="0" w:line="92" w:lineRule="exact"/>
        <w:rPr>
          <w:sz w:val="20"/>
          <w:szCs w:val="20"/>
          <w:color w:val="auto"/>
        </w:rPr>
      </w:pPr>
    </w:p>
    <w:p>
      <w:pPr>
        <w:ind w:left="1380" w:right="1419" w:firstLine="273"/>
        <w:spacing w:after="0" w:line="24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These agreements provide that we will indemnify each of our directors and such officers to the fullest extent permitted by law and our amended and restated certificate of incorporation and amended and restated bylaws.</w:t>
      </w:r>
    </w:p>
    <w:p>
      <w:pPr>
        <w:spacing w:after="0" w:line="252" w:lineRule="exact"/>
        <w:rPr>
          <w:sz w:val="20"/>
          <w:szCs w:val="20"/>
          <w:color w:val="auto"/>
        </w:rPr>
      </w:pPr>
    </w:p>
    <w:p>
      <w:pPr>
        <w:jc w:val="both"/>
        <w:ind w:left="1380" w:right="1539" w:firstLine="273"/>
        <w:spacing w:after="0" w:line="248" w:lineRule="auto"/>
        <w:rPr>
          <w:sz w:val="20"/>
          <w:szCs w:val="20"/>
          <w:color w:val="auto"/>
        </w:rPr>
      </w:pPr>
      <w:r>
        <w:rPr>
          <w:rFonts w:ascii="Times New Roman" w:cs="Times New Roman" w:eastAsia="Times New Roman" w:hAnsi="Times New Roman"/>
          <w:sz w:val="14"/>
          <w:szCs w:val="14"/>
          <w:color w:val="auto"/>
        </w:rPr>
        <w:t>We also maintain a general liability insurance policy that will cover certain liabilities of directors and officers of our company arising out of claims based on acts or omissions in their capacities as directors or officers.</w:t>
      </w:r>
    </w:p>
    <w:p>
      <w:pPr>
        <w:spacing w:after="0" w:line="86" w:lineRule="exact"/>
        <w:rPr>
          <w:sz w:val="20"/>
          <w:szCs w:val="20"/>
          <w:color w:val="auto"/>
        </w:rPr>
      </w:pPr>
    </w:p>
    <w:p>
      <w:pPr>
        <w:ind w:left="1380" w:right="1459" w:firstLine="273"/>
        <w:spacing w:after="0" w:line="239" w:lineRule="auto"/>
        <w:rPr>
          <w:sz w:val="20"/>
          <w:szCs w:val="20"/>
          <w:color w:val="auto"/>
        </w:rPr>
      </w:pPr>
      <w:r>
        <w:rPr>
          <w:rFonts w:ascii="Times New Roman" w:cs="Times New Roman" w:eastAsia="Times New Roman" w:hAnsi="Times New Roman"/>
          <w:sz w:val="14"/>
          <w:szCs w:val="14"/>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 (the “Securities Act”).</w:t>
      </w:r>
    </w:p>
    <w:p>
      <w:pPr>
        <w:spacing w:after="0" w:line="87" w:lineRule="exact"/>
        <w:rPr>
          <w:sz w:val="20"/>
          <w:szCs w:val="20"/>
          <w:color w:val="auto"/>
        </w:rPr>
      </w:pPr>
    </w:p>
    <w:p>
      <w:pPr>
        <w:ind w:left="13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1"/>
          <w:szCs w:val="11"/>
          <w:b w:val="1"/>
          <w:bCs w:val="1"/>
          <w:i w:val="1"/>
          <w:iCs w:val="1"/>
          <w:color w:val="auto"/>
        </w:rPr>
        <w:t>Exhibits</w:t>
      </w:r>
    </w:p>
    <w:p>
      <w:pPr>
        <w:sectPr>
          <w:pgSz w:w="11900" w:h="16838" w:orient="portrait"/>
          <w:cols w:equalWidth="0" w:num="1">
            <w:col w:w="9019"/>
          </w:cols>
          <w:pgMar w:left="1440" w:top="103" w:right="1440" w:bottom="1440" w:gutter="0" w:footer="0" w:header="0"/>
        </w:sectPr>
      </w:pPr>
    </w:p>
    <w:p>
      <w:pPr>
        <w:spacing w:after="0" w:line="1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440" w:hanging="54"/>
        <w:spacing w:after="0" w:line="182" w:lineRule="auto"/>
        <w:tabs>
          <w:tab w:leader="none" w:pos="1440" w:val="left"/>
        </w:tabs>
        <w:numPr>
          <w:ilvl w:val="0"/>
          <w:numId w:val="23"/>
        </w:numPr>
        <w:rPr>
          <w:rFonts w:ascii="Times New Roman" w:cs="Times New Roman" w:eastAsia="Times New Roman" w:hAnsi="Times New Roman"/>
          <w:sz w:val="16"/>
          <w:szCs w:val="16"/>
          <w:b w:val="1"/>
          <w:bCs w:val="1"/>
          <w:color w:val="auto"/>
          <w:vertAlign w:val="subscript"/>
        </w:rPr>
      </w:pPr>
      <w:r>
        <w:rPr>
          <w:rFonts w:ascii="Times New Roman" w:cs="Times New Roman" w:eastAsia="Times New Roman" w:hAnsi="Times New Roman"/>
          <w:sz w:val="9"/>
          <w:szCs w:val="9"/>
          <w:b w:val="1"/>
          <w:bCs w:val="1"/>
          <w:color w:val="auto"/>
        </w:rPr>
        <w:t>Number</w:t>
      </w:r>
    </w:p>
    <w:p>
      <w:pPr>
        <w:spacing w:after="0" w:line="21" w:lineRule="exact"/>
        <w:rPr>
          <w:rFonts w:ascii="Times New Roman" w:cs="Times New Roman" w:eastAsia="Times New Roman" w:hAnsi="Times New Roman"/>
          <w:sz w:val="16"/>
          <w:szCs w:val="16"/>
          <w:b w:val="1"/>
          <w:bCs w:val="1"/>
          <w:color w:val="auto"/>
          <w:vertAlign w:val="subscript"/>
        </w:rPr>
      </w:pPr>
    </w:p>
    <w:p>
      <w:pPr>
        <w:ind w:left="1520" w:hanging="134"/>
        <w:spacing w:after="0" w:line="182" w:lineRule="auto"/>
        <w:tabs>
          <w:tab w:leader="none" w:pos="152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1.1*</w:t>
      </w:r>
    </w:p>
    <w:p>
      <w:pPr>
        <w:spacing w:after="0" w:line="13" w:lineRule="exact"/>
        <w:rPr>
          <w:rFonts w:ascii="Times New Roman" w:cs="Times New Roman" w:eastAsia="Times New Roman" w:hAnsi="Times New Roman"/>
          <w:sz w:val="22"/>
          <w:szCs w:val="22"/>
          <w:color w:val="auto"/>
          <w:vertAlign w:val="superscript"/>
        </w:rPr>
      </w:pPr>
    </w:p>
    <w:p>
      <w:pPr>
        <w:ind w:left="1520" w:hanging="134"/>
        <w:spacing w:after="0"/>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337" w:lineRule="exact"/>
        <w:rPr>
          <w:rFonts w:ascii="Times New Roman" w:cs="Times New Roman" w:eastAsia="Times New Roman" w:hAnsi="Times New Roman"/>
          <w:sz w:val="14"/>
          <w:szCs w:val="14"/>
          <w:color w:val="auto"/>
        </w:rPr>
      </w:pPr>
    </w:p>
    <w:p>
      <w:pPr>
        <w:ind w:left="1520" w:hanging="134"/>
        <w:spacing w:after="0"/>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351" w:lineRule="exact"/>
        <w:rPr>
          <w:rFonts w:ascii="Times New Roman" w:cs="Times New Roman" w:eastAsia="Times New Roman" w:hAnsi="Times New Roman"/>
          <w:sz w:val="14"/>
          <w:szCs w:val="14"/>
          <w:color w:val="auto"/>
        </w:rPr>
      </w:pPr>
    </w:p>
    <w:p>
      <w:pPr>
        <w:ind w:left="1520" w:hanging="134"/>
        <w:spacing w:after="0"/>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351" w:lineRule="exact"/>
        <w:rPr>
          <w:rFonts w:ascii="Times New Roman" w:cs="Times New Roman" w:eastAsia="Times New Roman" w:hAnsi="Times New Roman"/>
          <w:sz w:val="14"/>
          <w:szCs w:val="14"/>
          <w:color w:val="auto"/>
        </w:rPr>
      </w:pPr>
    </w:p>
    <w:p>
      <w:pPr>
        <w:ind w:left="1520" w:hanging="134"/>
        <w:spacing w:after="0"/>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27" w:lineRule="exact"/>
        <w:rPr>
          <w:rFonts w:ascii="Times New Roman" w:cs="Times New Roman" w:eastAsia="Times New Roman" w:hAnsi="Times New Roman"/>
          <w:sz w:val="14"/>
          <w:szCs w:val="14"/>
          <w:color w:val="auto"/>
        </w:rPr>
      </w:pPr>
    </w:p>
    <w:p>
      <w:pPr>
        <w:ind w:left="1520" w:hanging="134"/>
        <w:spacing w:after="0"/>
        <w:tabs>
          <w:tab w:leader="none" w:pos="15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4.3*</w:t>
      </w:r>
    </w:p>
    <w:p>
      <w:pPr>
        <w:spacing w:after="0" w:line="22" w:lineRule="exact"/>
        <w:rPr>
          <w:rFonts w:ascii="Times New Roman" w:cs="Times New Roman" w:eastAsia="Times New Roman" w:hAnsi="Times New Roman"/>
          <w:sz w:val="27"/>
          <w:szCs w:val="27"/>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4.4</w:t>
      </w:r>
    </w:p>
    <w:p>
      <w:pPr>
        <w:spacing w:after="0" w:line="2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4.5*</w:t>
      </w:r>
    </w:p>
    <w:p>
      <w:pPr>
        <w:spacing w:after="0" w:line="2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4.6*</w:t>
      </w:r>
    </w:p>
    <w:p>
      <w:pPr>
        <w:spacing w:after="0" w:line="3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4.7*</w:t>
      </w:r>
    </w:p>
    <w:p>
      <w:pPr>
        <w:spacing w:after="0" w:line="3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4.8*</w:t>
      </w:r>
    </w:p>
    <w:p>
      <w:pPr>
        <w:spacing w:after="0" w:line="3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4.9*</w:t>
      </w:r>
    </w:p>
    <w:p>
      <w:pPr>
        <w:spacing w:after="0" w:line="33" w:lineRule="exact"/>
        <w:rPr>
          <w:rFonts w:ascii="Times New Roman" w:cs="Times New Roman" w:eastAsia="Times New Roman" w:hAnsi="Times New Roman"/>
          <w:sz w:val="18"/>
          <w:szCs w:val="18"/>
          <w:color w:val="auto"/>
          <w:vertAlign w:val="superscript"/>
        </w:rPr>
      </w:pPr>
    </w:p>
    <w:p>
      <w:pPr>
        <w:ind w:left="1520" w:hanging="134"/>
        <w:spacing w:after="0" w:line="187" w:lineRule="auto"/>
        <w:tabs>
          <w:tab w:leader="none" w:pos="15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5.1</w:t>
      </w:r>
    </w:p>
    <w:p>
      <w:pPr>
        <w:spacing w:after="0" w:line="33" w:lineRule="exact"/>
        <w:rPr>
          <w:rFonts w:ascii="Times New Roman" w:cs="Times New Roman" w:eastAsia="Times New Roman" w:hAnsi="Times New Roman"/>
          <w:sz w:val="18"/>
          <w:szCs w:val="18"/>
          <w:color w:val="auto"/>
          <w:vertAlign w:val="superscript"/>
        </w:rPr>
      </w:pPr>
    </w:p>
    <w:p>
      <w:pPr>
        <w:ind w:left="1460" w:hanging="74"/>
        <w:spacing w:after="0" w:line="187" w:lineRule="auto"/>
        <w:tabs>
          <w:tab w:leader="none" w:pos="14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23.1</w:t>
      </w:r>
    </w:p>
    <w:p>
      <w:pPr>
        <w:spacing w:after="0" w:line="33" w:lineRule="exact"/>
        <w:rPr>
          <w:rFonts w:ascii="Times New Roman" w:cs="Times New Roman" w:eastAsia="Times New Roman" w:hAnsi="Times New Roman"/>
          <w:sz w:val="18"/>
          <w:szCs w:val="18"/>
          <w:color w:val="auto"/>
          <w:vertAlign w:val="superscript"/>
        </w:rPr>
      </w:pPr>
    </w:p>
    <w:p>
      <w:pPr>
        <w:ind w:left="1460" w:hanging="74"/>
        <w:spacing w:after="0" w:line="187" w:lineRule="auto"/>
        <w:tabs>
          <w:tab w:leader="none" w:pos="14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23.2</w:t>
      </w:r>
    </w:p>
    <w:p>
      <w:pPr>
        <w:spacing w:after="0" w:line="33" w:lineRule="exact"/>
        <w:rPr>
          <w:rFonts w:ascii="Times New Roman" w:cs="Times New Roman" w:eastAsia="Times New Roman" w:hAnsi="Times New Roman"/>
          <w:sz w:val="18"/>
          <w:szCs w:val="18"/>
          <w:color w:val="auto"/>
          <w:vertAlign w:val="superscript"/>
        </w:rPr>
      </w:pPr>
    </w:p>
    <w:p>
      <w:pPr>
        <w:ind w:left="1460" w:hanging="74"/>
        <w:spacing w:after="0" w:line="187" w:lineRule="auto"/>
        <w:tabs>
          <w:tab w:leader="none" w:pos="14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24.1</w:t>
      </w:r>
    </w:p>
    <w:p>
      <w:pPr>
        <w:spacing w:after="0" w:line="23" w:lineRule="exact"/>
        <w:rPr>
          <w:rFonts w:ascii="Times New Roman" w:cs="Times New Roman" w:eastAsia="Times New Roman" w:hAnsi="Times New Roman"/>
          <w:sz w:val="18"/>
          <w:szCs w:val="18"/>
          <w:color w:val="auto"/>
          <w:vertAlign w:val="superscript"/>
        </w:rPr>
      </w:pPr>
    </w:p>
    <w:p>
      <w:pPr>
        <w:ind w:left="1460" w:hanging="74"/>
        <w:spacing w:after="0"/>
        <w:tabs>
          <w:tab w:leader="none" w:pos="1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-2877185</wp:posOffset>
            </wp:positionV>
            <wp:extent cx="31242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12420" cy="6350"/>
                    </a:xfrm>
                    <a:prstGeom prst="rect">
                      <a:avLst/>
                    </a:prstGeom>
                    <a:noFill/>
                  </pic:spPr>
                </pic:pic>
              </a:graphicData>
            </a:graphic>
          </wp:anchor>
        </w:drawing>
      </w:r>
    </w:p>
    <w:p>
      <w:pPr>
        <w:spacing w:after="0" w:line="2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107.1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3"/>
          </w:tcPr>
          <w:p>
            <w:pPr>
              <w:jc w:val="center"/>
              <w:ind w:right="234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1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3"/>
                <w:szCs w:val="13"/>
                <w:color w:val="auto"/>
              </w:rPr>
            </w:pPr>
          </w:p>
        </w:tc>
        <w:tc>
          <w:tcPr>
            <w:tcW w:w="556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auto"/>
              </w:rPr>
              <w:t>Form of Underwriting Agreement.</w:t>
            </w:r>
          </w:p>
        </w:tc>
        <w:tc>
          <w:tcPr>
            <w:tcW w:w="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r>
      <w:tr>
        <w:trPr>
          <w:trHeight w:val="167"/>
        </w:trPr>
        <w:tc>
          <w:tcPr>
            <w:tcW w:w="574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0">
              <w:r>
                <w:rPr>
                  <w:rFonts w:ascii="Times New Roman" w:cs="Times New Roman" w:eastAsia="Times New Roman" w:hAnsi="Times New Roman"/>
                  <w:sz w:val="14"/>
                  <w:szCs w:val="14"/>
                  <w:color w:val="0000EE"/>
                </w:rPr>
                <w:t>Amended and Restated Certificate of Incorporation of Jefferson Capital, Inc. (incorporated by</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tcBorders>
              <w:top w:val="single" w:sz="8" w:color="0000EE"/>
            </w:tcBorders>
            <w:gridSpan w:val="14"/>
          </w:tcPr>
          <w:p>
            <w:pPr>
              <w:spacing w:after="0" w:line="144"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reference to Exhibit 3.1 to the Company’s Registration Statement on Form S-1, filed with the</w:t>
              </w:r>
            </w:hyperlink>
          </w:p>
        </w:tc>
        <w:tc>
          <w:tcPr>
            <w:tcW w:w="1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20" w:type="dxa"/>
            <w:vAlign w:val="bottom"/>
            <w:tcBorders>
              <w:top w:val="single" w:sz="8" w:color="0000EE"/>
              <w:bottom w:val="single" w:sz="8" w:color="0000EE"/>
            </w:tcBorders>
            <w:gridSpan w:val="5"/>
          </w:tcPr>
          <w:p>
            <w:pPr>
              <w:spacing w:after="0" w:line="144"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SEC on January 5, 2026) (File No. 333- 292576).</w:t>
              </w:r>
            </w:hyperlink>
          </w:p>
        </w:tc>
        <w:tc>
          <w:tcPr>
            <w:tcW w:w="2500" w:type="dxa"/>
            <w:vAlign w:val="bottom"/>
            <w:tcBorders>
              <w:top w:val="single" w:sz="8" w:color="0000EE"/>
            </w:tcBorders>
            <w:gridSpan w:val="8"/>
          </w:tcPr>
          <w:p>
            <w:pPr>
              <w:spacing w:after="0"/>
              <w:rPr>
                <w:sz w:val="12"/>
                <w:szCs w:val="12"/>
                <w:color w:val="auto"/>
              </w:rPr>
            </w:pPr>
          </w:p>
        </w:tc>
        <w:tc>
          <w:tcPr>
            <w:tcW w:w="24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574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1">
              <w:r>
                <w:rPr>
                  <w:rFonts w:ascii="Times New Roman" w:cs="Times New Roman" w:eastAsia="Times New Roman" w:hAnsi="Times New Roman"/>
                  <w:sz w:val="14"/>
                  <w:szCs w:val="14"/>
                  <w:color w:val="0000EE"/>
                </w:rPr>
                <w:t>Amended and Restated Bylaws of Jefferson Capital, Inc. (incorporated by reference to</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60" w:type="dxa"/>
            <w:vAlign w:val="bottom"/>
            <w:gridSpan w:val="17"/>
          </w:tcPr>
          <w:p>
            <w:pPr>
              <w:spacing w:after="0" w:line="144"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Exhibit 3.2 to the Company’s Registration Statement on Form S-1, filed with the SEC on</w:t>
              </w:r>
            </w:hyperlink>
          </w:p>
        </w:tc>
        <w:tc>
          <w:tcPr>
            <w:tcW w:w="40" w:type="dxa"/>
            <w:vAlign w:val="bottom"/>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EE"/>
            </w:tcBorders>
            <w:gridSpan w:val="11"/>
          </w:tcPr>
          <w:p>
            <w:pPr>
              <w:spacing w:after="0" w:line="144"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January 5, 2026) (File No. 333- 292576).</w:t>
              </w:r>
            </w:hyperlink>
          </w:p>
        </w:tc>
        <w:tc>
          <w:tcPr>
            <w:tcW w:w="48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80" w:type="dxa"/>
            <w:vAlign w:val="bottom"/>
            <w:gridSpan w:val="2"/>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574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2">
              <w:r>
                <w:rPr>
                  <w:rFonts w:ascii="Times New Roman" w:cs="Times New Roman" w:eastAsia="Times New Roman" w:hAnsi="Times New Roman"/>
                  <w:sz w:val="14"/>
                  <w:szCs w:val="14"/>
                  <w:color w:val="0000EE"/>
                </w:rPr>
                <w:t>Stockholders Agreement, dated as of June 25, 2025, by and between the Jefferson Capital, Inc.</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EE"/>
              <w:bottom w:val="single" w:sz="8" w:color="0000EE"/>
            </w:tcBorders>
            <w:gridSpan w:val="10"/>
          </w:tcPr>
          <w:p>
            <w:pPr>
              <w:spacing w:after="0" w:line="144"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and the Initial Stockholders (incorporated by reference to Exhibit 4.8 to the Company’s</w:t>
              </w:r>
            </w:hyperlink>
          </w:p>
        </w:tc>
        <w:tc>
          <w:tcPr>
            <w:tcW w:w="420" w:type="dxa"/>
            <w:vAlign w:val="bottom"/>
            <w:tcBorders>
              <w:top w:val="single" w:sz="8" w:color="0000EE"/>
            </w:tcBorders>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tcBorders>
              <w:bottom w:val="single" w:sz="8" w:color="0000EE"/>
            </w:tcBorders>
            <w:gridSpan w:val="16"/>
          </w:tcPr>
          <w:p>
            <w:pPr>
              <w:spacing w:after="0" w:line="144"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Quarterly Report on Form 10-Q, filed with the SEC on August 14, 2025) (File No. 001-42718).</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574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3">
              <w:r>
                <w:rPr>
                  <w:rFonts w:ascii="Times New Roman" w:cs="Times New Roman" w:eastAsia="Times New Roman" w:hAnsi="Times New Roman"/>
                  <w:sz w:val="14"/>
                  <w:szCs w:val="14"/>
                  <w:color w:val="0000EE"/>
                </w:rPr>
                <w:t>Form of Specimen Certificate Representing Common Stock (incorporated by reference to</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tcBorders>
              <w:top w:val="single" w:sz="8" w:color="0000EE"/>
            </w:tcBorders>
            <w:gridSpan w:val="12"/>
          </w:tcPr>
          <w:p>
            <w:pPr>
              <w:spacing w:after="0" w:line="144"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Exhibit 4.1 to the Company’s Registration Statement on Form S-1, filed with the SEC on</w:t>
              </w:r>
            </w:hyperlink>
          </w:p>
        </w:tc>
        <w:tc>
          <w:tcPr>
            <w:tcW w:w="4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EE"/>
              <w:bottom w:val="single" w:sz="8" w:color="0000EE"/>
            </w:tcBorders>
            <w:gridSpan w:val="3"/>
          </w:tcPr>
          <w:p>
            <w:pPr>
              <w:spacing w:after="0" w:line="144"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June 13, 2025) (File No. 333-287488).</w:t>
              </w:r>
            </w:hyperlink>
          </w:p>
        </w:tc>
        <w:tc>
          <w:tcPr>
            <w:tcW w:w="2880" w:type="dxa"/>
            <w:vAlign w:val="bottom"/>
            <w:tcBorders>
              <w:top w:val="single" w:sz="8" w:color="0000EE"/>
            </w:tcBorders>
            <w:gridSpan w:val="8"/>
          </w:tcPr>
          <w:p>
            <w:pPr>
              <w:spacing w:after="0"/>
              <w:rPr>
                <w:sz w:val="12"/>
                <w:szCs w:val="12"/>
                <w:color w:val="auto"/>
              </w:rPr>
            </w:pPr>
          </w:p>
        </w:tc>
        <w:tc>
          <w:tcPr>
            <w:tcW w:w="48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5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Form of Specimen Certificate Representing Preferred 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5740" w:type="dxa"/>
            <w:vAlign w:val="bottom"/>
            <w:gridSpan w:val="19"/>
          </w:tcPr>
          <w:p>
            <w:pPr>
              <w:spacing w:after="0" w:line="187"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Form of Indenture.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Form of Note.</w:t>
            </w:r>
          </w:p>
        </w:tc>
        <w:tc>
          <w:tcPr>
            <w:tcW w:w="980" w:type="dxa"/>
            <w:vAlign w:val="bottom"/>
          </w:tcPr>
          <w:p>
            <w:pPr>
              <w:spacing w:after="0"/>
              <w:rPr>
                <w:sz w:val="14"/>
                <w:szCs w:val="14"/>
                <w:color w:val="auto"/>
              </w:rPr>
            </w:pPr>
          </w:p>
        </w:tc>
        <w:tc>
          <w:tcPr>
            <w:tcW w:w="146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9"/>
          </w:tcPr>
          <w:p>
            <w:pPr>
              <w:spacing w:after="0"/>
              <w:rPr>
                <w:sz w:val="14"/>
                <w:szCs w:val="14"/>
                <w:color w:val="auto"/>
              </w:rPr>
            </w:pP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95"/>
        </w:trPr>
        <w:tc>
          <w:tcPr>
            <w:tcW w:w="5740" w:type="dxa"/>
            <w:vAlign w:val="bottom"/>
            <w:gridSpan w:val="19"/>
          </w:tcPr>
          <w:p>
            <w:pPr>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Form of Warrant.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40" w:type="dxa"/>
            <w:vAlign w:val="bottom"/>
            <w:gridSpan w:val="19"/>
          </w:tcPr>
          <w:p>
            <w:pPr>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Form of Warrant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40" w:type="dxa"/>
            <w:vAlign w:val="bottom"/>
            <w:gridSpan w:val="19"/>
          </w:tcPr>
          <w:p>
            <w:pPr>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Form of Purchase Contract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40" w:type="dxa"/>
            <w:vAlign w:val="bottom"/>
            <w:gridSpan w:val="19"/>
          </w:tcPr>
          <w:p>
            <w:pPr>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Form of Unit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5740" w:type="dxa"/>
            <w:vAlign w:val="bottom"/>
            <w:gridSpan w:val="19"/>
          </w:tcPr>
          <w:p>
            <w:pPr>
              <w:spacing w:after="0" w:line="187"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Opinion of Latham &amp; Watkins LLP.</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0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Consent of Latham &amp; Watkins LLP</w:t>
            </w:r>
          </w:p>
        </w:tc>
        <w:tc>
          <w:tcPr>
            <w:tcW w:w="14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4"/>
                <w:szCs w:val="14"/>
                <w:color w:val="0000EE"/>
              </w:rPr>
              <w:t>(included in Exhibit 5.1).</w:t>
            </w:r>
          </w:p>
        </w:tc>
        <w:tc>
          <w:tcPr>
            <w:tcW w:w="2060" w:type="dxa"/>
            <w:vAlign w:val="bottom"/>
            <w:gridSpan w:val="11"/>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Deloitte &amp; Touche LLP, independent registered public accounting firm.</w:t>
            </w:r>
          </w:p>
        </w:tc>
        <w:tc>
          <w:tcPr>
            <w:tcW w:w="820" w:type="dxa"/>
            <w:vAlign w:val="bottom"/>
            <w:gridSpan w:val="9"/>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556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Powers of Attorney (incorporated by reference to the signature page hereto).</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Statement of Eligibility on Form T-1 under the Trust Indenture Act of 1939, as amended, of U.S.</w:t>
      </w:r>
      <w:r>
        <w:rPr>
          <w:rFonts w:ascii="Times New Roman" w:cs="Times New Roman" w:eastAsia="Times New Roman" w:hAnsi="Times New Roman"/>
          <w:sz w:val="14"/>
          <w:szCs w:val="14"/>
          <w:color w:val="auto"/>
        </w:rPr>
        <w:t xml:space="preserve">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ind w:left="160"/>
              <w:spacing w:after="0"/>
              <w:rPr>
                <w:sz w:val="20"/>
                <w:szCs w:val="20"/>
                <w:color w:val="auto"/>
              </w:rPr>
            </w:pPr>
            <w:r>
              <w:rPr>
                <w:rFonts w:ascii="Times New Roman" w:cs="Times New Roman" w:eastAsia="Times New Roman" w:hAnsi="Times New Roman"/>
                <w:sz w:val="14"/>
                <w:szCs w:val="14"/>
                <w:u w:val="single" w:color="auto"/>
                <w:color w:val="0000EE"/>
              </w:rPr>
              <w:t>Bank Trust Company, National Association, as trustee under the indenture filed as Exhibit 4.4</w:t>
            </w:r>
          </w:p>
        </w:tc>
        <w:tc>
          <w:tcPr>
            <w:tcW w:w="140" w:type="dxa"/>
            <w:vAlign w:val="bottom"/>
          </w:tcPr>
          <w:p>
            <w:pPr>
              <w:spacing w:after="0"/>
              <w:rPr>
                <w:sz w:val="13"/>
                <w:szCs w:val="13"/>
                <w:color w:val="auto"/>
              </w:rPr>
            </w:pPr>
          </w:p>
        </w:tc>
      </w:tr>
      <w:tr>
        <w:trPr>
          <w:trHeight w:val="164"/>
        </w:trPr>
        <w:tc>
          <w:tcPr>
            <w:tcW w:w="5640" w:type="dxa"/>
            <w:vAlign w:val="bottom"/>
          </w:tcPr>
          <w:p>
            <w:pPr>
              <w:ind w:left="160"/>
              <w:spacing w:after="0"/>
              <w:rPr>
                <w:sz w:val="20"/>
                <w:szCs w:val="20"/>
                <w:color w:val="auto"/>
              </w:rPr>
            </w:pPr>
            <w:r>
              <w:rPr>
                <w:rFonts w:ascii="Times New Roman" w:cs="Times New Roman" w:eastAsia="Times New Roman" w:hAnsi="Times New Roman"/>
                <w:sz w:val="14"/>
                <w:szCs w:val="14"/>
                <w:u w:val="single" w:color="auto"/>
                <w:color w:val="0000EE"/>
              </w:rPr>
              <w:t>above.</w:t>
            </w:r>
          </w:p>
        </w:tc>
        <w:tc>
          <w:tcPr>
            <w:tcW w:w="140" w:type="dxa"/>
            <w:vAlign w:val="bottom"/>
          </w:tcPr>
          <w:p>
            <w:pPr>
              <w:spacing w:after="0"/>
              <w:rPr>
                <w:sz w:val="14"/>
                <w:szCs w:val="14"/>
                <w:color w:val="auto"/>
              </w:rPr>
            </w:pPr>
          </w:p>
        </w:tc>
      </w:tr>
      <w:tr>
        <w:trPr>
          <w:trHeight w:val="359"/>
        </w:trPr>
        <w:tc>
          <w:tcPr>
            <w:tcW w:w="5640" w:type="dxa"/>
            <w:vAlign w:val="bottom"/>
          </w:tcPr>
          <w:p>
            <w:pPr>
              <w:spacing w:after="0"/>
              <w:rPr>
                <w:sz w:val="20"/>
                <w:szCs w:val="20"/>
                <w:color w:val="auto"/>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Filing Fee Table.</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14605</wp:posOffset>
            </wp:positionV>
            <wp:extent cx="9378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820" w:space="60"/>
            <w:col w:w="7139"/>
          </w:cols>
          <w:pgMar w:left="1440" w:top="103" w:right="1440" w:bottom="1440" w:gutter="0" w:footer="0" w:header="0"/>
          <w:type w:val="continuous"/>
        </w:sectPr>
      </w:pPr>
    </w:p>
    <w:p>
      <w:pPr>
        <w:ind w:left="4380" w:right="1399" w:hanging="2994"/>
        <w:spacing w:after="0" w:line="710"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-15875</wp:posOffset>
            </wp:positionV>
            <wp:extent cx="51974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39" w:name="page40"/>
    <w:bookmarkEnd w:id="39"/>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3"/>
          <w:szCs w:val="13"/>
          <w:b w:val="1"/>
          <w:bCs w:val="1"/>
          <w:i w:val="1"/>
          <w:iCs w:val="1"/>
          <w:color w:val="auto"/>
        </w:rPr>
        <w:t>Undertakings</w:t>
      </w:r>
    </w:p>
    <w:p>
      <w:pPr>
        <w:spacing w:after="0" w:line="120" w:lineRule="exact"/>
        <w:rPr>
          <w:sz w:val="20"/>
          <w:szCs w:val="20"/>
          <w:color w:val="auto"/>
        </w:rPr>
      </w:pPr>
    </w:p>
    <w:p>
      <w:pPr>
        <w:ind w:left="1920" w:hanging="261"/>
        <w:spacing w:after="0"/>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5" w:lineRule="exact"/>
        <w:rPr>
          <w:rFonts w:ascii="Times New Roman" w:cs="Times New Roman" w:eastAsia="Times New Roman" w:hAnsi="Times New Roman"/>
          <w:sz w:val="14"/>
          <w:szCs w:val="14"/>
          <w:color w:val="auto"/>
        </w:rPr>
      </w:pPr>
    </w:p>
    <w:p>
      <w:pPr>
        <w:ind w:left="1660" w:right="2099" w:firstLine="273"/>
        <w:spacing w:after="0" w:line="266" w:lineRule="auto"/>
        <w:tabs>
          <w:tab w:leader="none" w:pos="2209"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3"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5" w:lineRule="exact"/>
        <w:rPr>
          <w:rFonts w:ascii="Times New Roman" w:cs="Times New Roman" w:eastAsia="Times New Roman" w:hAnsi="Times New Roman"/>
          <w:sz w:val="14"/>
          <w:szCs w:val="14"/>
          <w:color w:val="auto"/>
        </w:rPr>
      </w:pPr>
    </w:p>
    <w:p>
      <w:pPr>
        <w:ind w:left="1940" w:right="1399" w:firstLine="266"/>
        <w:spacing w:after="0" w:line="247" w:lineRule="auto"/>
        <w:tabs>
          <w:tab w:leader="none" w:pos="250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4"/>
          <w:szCs w:val="14"/>
          <w:color w:val="auto"/>
        </w:rPr>
      </w:pPr>
    </w:p>
    <w:p>
      <w:pPr>
        <w:ind w:left="1940" w:right="1399" w:firstLine="266"/>
        <w:spacing w:after="0" w:line="255" w:lineRule="auto"/>
        <w:tabs>
          <w:tab w:leader="none" w:pos="254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8" w:lineRule="exact"/>
        <w:rPr>
          <w:sz w:val="20"/>
          <w:szCs w:val="20"/>
          <w:color w:val="auto"/>
        </w:rPr>
      </w:pPr>
    </w:p>
    <w:p>
      <w:pPr>
        <w:ind w:left="1660" w:right="1499"/>
        <w:spacing w:after="0" w:line="250"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95" w:lineRule="exact"/>
        <w:rPr>
          <w:sz w:val="20"/>
          <w:szCs w:val="20"/>
          <w:color w:val="auto"/>
        </w:rPr>
      </w:pPr>
    </w:p>
    <w:p>
      <w:pPr>
        <w:ind w:left="1660" w:right="1619" w:firstLine="273"/>
        <w:spacing w:after="0" w:line="252" w:lineRule="auto"/>
        <w:tabs>
          <w:tab w:leader="none" w:pos="220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Times New Roman" w:cs="Times New Roman" w:eastAsia="Times New Roman" w:hAnsi="Times New Roman"/>
          <w:sz w:val="14"/>
          <w:szCs w:val="14"/>
          <w:color w:val="auto"/>
        </w:rPr>
      </w:pPr>
    </w:p>
    <w:p>
      <w:pPr>
        <w:ind w:left="1660" w:right="1639" w:firstLine="273"/>
        <w:spacing w:after="0" w:line="266" w:lineRule="auto"/>
        <w:tabs>
          <w:tab w:leader="none" w:pos="220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3" w:lineRule="exact"/>
        <w:rPr>
          <w:rFonts w:ascii="Times New Roman" w:cs="Times New Roman" w:eastAsia="Times New Roman" w:hAnsi="Times New Roman"/>
          <w:sz w:val="14"/>
          <w:szCs w:val="14"/>
          <w:color w:val="auto"/>
        </w:rPr>
      </w:pPr>
    </w:p>
    <w:p>
      <w:pPr>
        <w:ind w:left="2200" w:hanging="267"/>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5" w:lineRule="exact"/>
        <w:rPr>
          <w:rFonts w:ascii="Times New Roman" w:cs="Times New Roman" w:eastAsia="Times New Roman" w:hAnsi="Times New Roman"/>
          <w:sz w:val="14"/>
          <w:szCs w:val="14"/>
          <w:color w:val="auto"/>
        </w:rPr>
      </w:pPr>
    </w:p>
    <w:p>
      <w:pPr>
        <w:ind w:left="1940" w:right="1459" w:firstLine="266"/>
        <w:spacing w:after="0" w:line="255" w:lineRule="auto"/>
        <w:tabs>
          <w:tab w:leader="none" w:pos="2522"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2" w:lineRule="exact"/>
        <w:rPr>
          <w:rFonts w:ascii="Times New Roman" w:cs="Times New Roman" w:eastAsia="Times New Roman" w:hAnsi="Times New Roman"/>
          <w:sz w:val="14"/>
          <w:szCs w:val="14"/>
          <w:color w:val="auto"/>
        </w:rPr>
      </w:pPr>
    </w:p>
    <w:p>
      <w:pPr>
        <w:ind w:left="1940" w:right="1479" w:firstLine="266"/>
        <w:spacing w:after="0" w:line="250" w:lineRule="auto"/>
        <w:tabs>
          <w:tab w:leader="none" w:pos="2515"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spacing w:after="0" w:line="1" w:lineRule="exact"/>
        <w:rPr>
          <w:rFonts w:ascii="Times New Roman" w:cs="Times New Roman" w:eastAsia="Times New Roman" w:hAnsi="Times New Roman"/>
          <w:sz w:val="14"/>
          <w:szCs w:val="14"/>
          <w:color w:val="auto"/>
        </w:rPr>
      </w:pPr>
    </w:p>
    <w:p>
      <w:pPr>
        <w:ind w:left="1940" w:right="141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 statement made in a registration statement or prospectus that is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0" w:name="page41"/>
    <w:bookmarkEnd w:id="40"/>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right="1419"/>
        <w:spacing w:after="0" w:line="266" w:lineRule="auto"/>
        <w:rPr>
          <w:sz w:val="20"/>
          <w:szCs w:val="20"/>
          <w:color w:val="auto"/>
        </w:rPr>
      </w:pPr>
      <w:r>
        <w:rPr>
          <w:rFonts w:ascii="Times New Roman" w:cs="Times New Roman" w:eastAsia="Times New Roman" w:hAnsi="Times New Roman"/>
          <w:sz w:val="14"/>
          <w:szCs w:val="14"/>
          <w:color w:val="auto"/>
        </w:rPr>
        <w:t>statement that was made in the registration statement or prospectus that was part of the registration statement or made in any such document immediately prior to such effective date.</w:t>
      </w:r>
    </w:p>
    <w:p>
      <w:pPr>
        <w:spacing w:after="0" w:line="84" w:lineRule="exact"/>
        <w:rPr>
          <w:sz w:val="20"/>
          <w:szCs w:val="20"/>
          <w:color w:val="auto"/>
        </w:rPr>
      </w:pPr>
    </w:p>
    <w:p>
      <w:pPr>
        <w:ind w:left="1660" w:right="1479" w:firstLine="273"/>
        <w:spacing w:after="0" w:line="266" w:lineRule="auto"/>
        <w:tabs>
          <w:tab w:leader="none" w:pos="220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84" w:lineRule="exact"/>
        <w:rPr>
          <w:sz w:val="20"/>
          <w:szCs w:val="20"/>
          <w:color w:val="auto"/>
        </w:rPr>
      </w:pPr>
    </w:p>
    <w:p>
      <w:pPr>
        <w:ind w:left="1660" w:right="1439" w:firstLine="273"/>
        <w:spacing w:after="0" w:line="250"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940" w:right="1659" w:firstLine="266"/>
        <w:spacing w:after="0" w:line="266" w:lineRule="auto"/>
        <w:tabs>
          <w:tab w:leader="none" w:pos="2454"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84" w:lineRule="exact"/>
        <w:rPr>
          <w:rFonts w:ascii="Times New Roman" w:cs="Times New Roman" w:eastAsia="Times New Roman" w:hAnsi="Times New Roman"/>
          <w:sz w:val="14"/>
          <w:szCs w:val="14"/>
          <w:color w:val="auto"/>
        </w:rPr>
      </w:pPr>
    </w:p>
    <w:p>
      <w:pPr>
        <w:ind w:left="1940" w:right="1779" w:firstLine="266"/>
        <w:spacing w:after="0" w:line="266" w:lineRule="auto"/>
        <w:tabs>
          <w:tab w:leader="none" w:pos="249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84" w:lineRule="exact"/>
        <w:rPr>
          <w:rFonts w:ascii="Times New Roman" w:cs="Times New Roman" w:eastAsia="Times New Roman" w:hAnsi="Times New Roman"/>
          <w:sz w:val="14"/>
          <w:szCs w:val="14"/>
          <w:color w:val="auto"/>
        </w:rPr>
      </w:pPr>
    </w:p>
    <w:p>
      <w:pPr>
        <w:ind w:left="1940" w:right="1499" w:firstLine="266"/>
        <w:spacing w:after="0" w:line="255" w:lineRule="auto"/>
        <w:tabs>
          <w:tab w:leader="none" w:pos="254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1" w:lineRule="exact"/>
        <w:rPr>
          <w:rFonts w:ascii="Times New Roman" w:cs="Times New Roman" w:eastAsia="Times New Roman" w:hAnsi="Times New Roman"/>
          <w:sz w:val="14"/>
          <w:szCs w:val="14"/>
          <w:color w:val="auto"/>
        </w:rPr>
      </w:pPr>
    </w:p>
    <w:p>
      <w:pPr>
        <w:ind w:left="1940" w:right="1759" w:firstLine="266"/>
        <w:spacing w:after="0" w:line="266" w:lineRule="auto"/>
        <w:tabs>
          <w:tab w:leader="none" w:pos="252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communications that is an offer in the offering made by the undersigned registrant to the purchaser.</w:t>
      </w:r>
    </w:p>
    <w:p>
      <w:pPr>
        <w:spacing w:after="0" w:line="84" w:lineRule="exact"/>
        <w:rPr>
          <w:rFonts w:ascii="Times New Roman" w:cs="Times New Roman" w:eastAsia="Times New Roman" w:hAnsi="Times New Roman"/>
          <w:sz w:val="14"/>
          <w:szCs w:val="14"/>
          <w:color w:val="auto"/>
        </w:rPr>
      </w:pPr>
    </w:p>
    <w:p>
      <w:pPr>
        <w:ind w:left="1380" w:right="1459" w:firstLine="279"/>
        <w:spacing w:after="0" w:line="248" w:lineRule="auto"/>
        <w:tabs>
          <w:tab w:leader="none" w:pos="192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97" w:lineRule="exact"/>
        <w:rPr>
          <w:sz w:val="20"/>
          <w:szCs w:val="20"/>
          <w:color w:val="auto"/>
        </w:rPr>
      </w:pPr>
    </w:p>
    <w:p>
      <w:pPr>
        <w:ind w:left="1380" w:right="1399" w:firstLine="279"/>
        <w:spacing w:after="0" w:line="246" w:lineRule="auto"/>
        <w:tabs>
          <w:tab w:leader="none" w:pos="19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sz w:val="20"/>
          <w:szCs w:val="20"/>
          <w:color w:val="auto"/>
        </w:rPr>
      </w:pPr>
    </w:p>
    <w:p>
      <w:pPr>
        <w:jc w:val="both"/>
        <w:ind w:left="1380" w:right="1439" w:firstLine="279"/>
        <w:spacing w:after="0" w:line="255" w:lineRule="auto"/>
        <w:tabs>
          <w:tab w:leader="none" w:pos="189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186055</wp:posOffset>
            </wp:positionV>
            <wp:extent cx="51974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1" w:name="page42"/>
    <w:bookmarkEnd w:id="41"/>
    <w:p>
      <w:pPr>
        <w:ind w:left="4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0" w:lineRule="exact"/>
        <w:rPr>
          <w:sz w:val="20"/>
          <w:szCs w:val="20"/>
          <w:color w:val="auto"/>
        </w:rPr>
      </w:pPr>
    </w:p>
    <w:p>
      <w:pPr>
        <w:jc w:val="both"/>
        <w:ind w:left="1380" w:right="1539" w:firstLine="273"/>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Minneapolis, State of Minnesota on July 2, 2026.</w:t>
      </w:r>
    </w:p>
    <w:p>
      <w:pPr>
        <w:spacing w:after="0" w:line="1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Jefferson Capital, Inc.</w:t>
      </w:r>
    </w:p>
    <w:p>
      <w:pPr>
        <w:spacing w:after="0" w:line="17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By: /s/ David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36195</wp:posOffset>
            </wp:positionV>
            <wp:extent cx="169989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699895" cy="6350"/>
                    </a:xfrm>
                    <a:prstGeom prst="rect">
                      <a:avLst/>
                    </a:prstGeom>
                    <a:noFill/>
                  </pic:spPr>
                </pic:pic>
              </a:graphicData>
            </a:graphic>
          </wp:anchor>
        </w:drawing>
      </w:r>
    </w:p>
    <w:p>
      <w:pPr>
        <w:spacing w:after="0" w:line="5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David Burton</w:t>
      </w:r>
    </w:p>
    <w:p>
      <w:pPr>
        <w:spacing w:after="0" w:line="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President, Chief Executive Officer and</w:t>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Chairman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0" w:lineRule="exact"/>
        <w:rPr>
          <w:sz w:val="20"/>
          <w:szCs w:val="20"/>
          <w:color w:val="auto"/>
        </w:rPr>
      </w:pPr>
    </w:p>
    <w:p>
      <w:pPr>
        <w:ind w:left="1380" w:right="1459" w:firstLine="273"/>
        <w:spacing w:after="0" w:line="246"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David Burton and Christo Realov,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66" w:lineRule="exact"/>
        <w:rPr>
          <w:sz w:val="20"/>
          <w:szCs w:val="20"/>
          <w:color w:val="auto"/>
        </w:rPr>
      </w:pPr>
    </w:p>
    <w:p>
      <w:pPr>
        <w:ind w:left="1380" w:right="1499" w:firstLine="273"/>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7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w w:val="97"/>
              </w:rPr>
              <w:t>SIGNATURE</w:t>
            </w:r>
          </w:p>
        </w:tc>
        <w:tc>
          <w:tcPr>
            <w:tcW w:w="20" w:type="dxa"/>
            <w:vAlign w:val="bottom"/>
            <w:tcBorders>
              <w:bottom w:val="single" w:sz="8" w:color="auto"/>
            </w:tcBorders>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32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57"/>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David Burton</w:t>
            </w:r>
          </w:p>
        </w:tc>
        <w:tc>
          <w:tcPr>
            <w:tcW w:w="20" w:type="dxa"/>
            <w:vAlign w:val="bottom"/>
          </w:tcPr>
          <w:p>
            <w:pPr>
              <w:spacing w:after="0"/>
              <w:rPr>
                <w:sz w:val="22"/>
                <w:szCs w:val="2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Chairman</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82"/>
        </w:trPr>
        <w:tc>
          <w:tcPr>
            <w:tcW w:w="220" w:type="dxa"/>
            <w:vAlign w:val="bottom"/>
            <w:gridSpan w:val="2"/>
            <w:vMerge w:val="continue"/>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4"/>
                <w:szCs w:val="14"/>
                <w:color w:val="auto"/>
                <w:w w:val="99"/>
              </w:rPr>
              <w:t>David Burton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Christo Realov</w:t>
            </w:r>
          </w:p>
        </w:tc>
        <w:tc>
          <w:tcPr>
            <w:tcW w:w="20" w:type="dxa"/>
            <w:vAlign w:val="bottom"/>
          </w:tcPr>
          <w:p>
            <w:pPr>
              <w:spacing w:after="0"/>
              <w:rPr>
                <w:sz w:val="24"/>
                <w:szCs w:val="2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82"/>
        </w:trPr>
        <w:tc>
          <w:tcPr>
            <w:tcW w:w="220" w:type="dxa"/>
            <w:vAlign w:val="bottom"/>
            <w:gridSpan w:val="2"/>
            <w:vMerge w:val="continue"/>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vMerge w:val="restart"/>
          </w:tcPr>
          <w:p>
            <w:pPr>
              <w:jc w:val="center"/>
              <w:ind w:right="153"/>
              <w:spacing w:after="0"/>
              <w:rPr>
                <w:sz w:val="20"/>
                <w:szCs w:val="20"/>
                <w:color w:val="auto"/>
              </w:rPr>
            </w:pPr>
            <w:r>
              <w:rPr>
                <w:rFonts w:ascii="Times New Roman" w:cs="Times New Roman" w:eastAsia="Times New Roman" w:hAnsi="Times New Roman"/>
                <w:sz w:val="14"/>
                <w:szCs w:val="14"/>
                <w:color w:val="auto"/>
              </w:rPr>
              <w:t>Christo Realov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Susan Atkins</w:t>
            </w:r>
          </w:p>
        </w:tc>
        <w:tc>
          <w:tcPr>
            <w:tcW w:w="20" w:type="dxa"/>
            <w:vAlign w:val="bottom"/>
          </w:tcPr>
          <w:p>
            <w:pPr>
              <w:spacing w:after="0"/>
              <w:rPr>
                <w:sz w:val="24"/>
                <w:szCs w:val="24"/>
                <w:color w:val="auto"/>
              </w:rPr>
            </w:pP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Director</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42"/>
        </w:trPr>
        <w:tc>
          <w:tcPr>
            <w:tcW w:w="2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36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4"/>
                <w:szCs w:val="14"/>
                <w:color w:val="auto"/>
              </w:rPr>
              <w:t>Susan Atkins</w:t>
            </w:r>
          </w:p>
        </w:tc>
        <w:tc>
          <w:tcPr>
            <w:tcW w:w="20" w:type="dxa"/>
            <w:vAlign w:val="bottom"/>
            <w:vMerge w:val="continue"/>
          </w:tcPr>
          <w:p>
            <w:pPr>
              <w:spacing w:after="0"/>
              <w:rPr>
                <w:sz w:val="11"/>
                <w:szCs w:val="11"/>
                <w:color w:val="auto"/>
              </w:rPr>
            </w:pPr>
          </w:p>
        </w:tc>
        <w:tc>
          <w:tcPr>
            <w:tcW w:w="336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Thomas Harding</w:t>
            </w:r>
          </w:p>
        </w:tc>
        <w:tc>
          <w:tcPr>
            <w:tcW w:w="20" w:type="dxa"/>
            <w:vAlign w:val="bottom"/>
          </w:tcPr>
          <w:p>
            <w:pPr>
              <w:spacing w:after="0"/>
              <w:rPr>
                <w:sz w:val="24"/>
                <w:szCs w:val="24"/>
                <w:color w:val="auto"/>
              </w:rPr>
            </w:pP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Director</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42"/>
        </w:trPr>
        <w:tc>
          <w:tcPr>
            <w:tcW w:w="2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36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4"/>
                <w:szCs w:val="14"/>
                <w:color w:val="auto"/>
              </w:rPr>
              <w:t>Thomas Harding</w:t>
            </w:r>
          </w:p>
        </w:tc>
        <w:tc>
          <w:tcPr>
            <w:tcW w:w="20" w:type="dxa"/>
            <w:vAlign w:val="bottom"/>
            <w:vMerge w:val="continue"/>
          </w:tcPr>
          <w:p>
            <w:pPr>
              <w:spacing w:after="0"/>
              <w:rPr>
                <w:sz w:val="11"/>
                <w:szCs w:val="11"/>
                <w:color w:val="auto"/>
              </w:rPr>
            </w:pPr>
          </w:p>
        </w:tc>
        <w:tc>
          <w:tcPr>
            <w:tcW w:w="336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Beth Leonard</w:t>
            </w:r>
          </w:p>
        </w:tc>
        <w:tc>
          <w:tcPr>
            <w:tcW w:w="20" w:type="dxa"/>
            <w:vAlign w:val="bottom"/>
          </w:tcPr>
          <w:p>
            <w:pPr>
              <w:spacing w:after="0"/>
              <w:rPr>
                <w:sz w:val="24"/>
                <w:szCs w:val="24"/>
                <w:color w:val="auto"/>
              </w:rPr>
            </w:pP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Director</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42"/>
        </w:trPr>
        <w:tc>
          <w:tcPr>
            <w:tcW w:w="2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36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4"/>
                <w:szCs w:val="14"/>
                <w:color w:val="auto"/>
                <w:w w:val="99"/>
              </w:rPr>
              <w:t>Beth Leonard</w:t>
            </w:r>
          </w:p>
        </w:tc>
        <w:tc>
          <w:tcPr>
            <w:tcW w:w="20" w:type="dxa"/>
            <w:vAlign w:val="bottom"/>
            <w:vMerge w:val="continue"/>
          </w:tcPr>
          <w:p>
            <w:pPr>
              <w:spacing w:after="0"/>
              <w:rPr>
                <w:sz w:val="11"/>
                <w:szCs w:val="11"/>
                <w:color w:val="auto"/>
              </w:rPr>
            </w:pPr>
          </w:p>
        </w:tc>
        <w:tc>
          <w:tcPr>
            <w:tcW w:w="336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rPr>
              <w:t>/s/ Thomas Lydon, Jr.</w:t>
            </w:r>
          </w:p>
        </w:tc>
        <w:tc>
          <w:tcPr>
            <w:tcW w:w="20" w:type="dxa"/>
            <w:vAlign w:val="bottom"/>
          </w:tcPr>
          <w:p>
            <w:pPr>
              <w:spacing w:after="0"/>
              <w:rPr>
                <w:sz w:val="24"/>
                <w:szCs w:val="24"/>
                <w:color w:val="auto"/>
              </w:rPr>
            </w:pP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Director</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54"/>
        </w:trPr>
        <w:tc>
          <w:tcPr>
            <w:tcW w:w="220" w:type="dxa"/>
            <w:vAlign w:val="bottom"/>
            <w:tcBorders>
              <w:bottom w:val="single" w:sz="8" w:color="auto"/>
            </w:tcBorders>
            <w:gridSpan w:val="2"/>
            <w:vMerge w:val="continue"/>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36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ind w:left="1840"/>
        <w:spacing w:after="0"/>
        <w:rPr>
          <w:sz w:val="20"/>
          <w:szCs w:val="20"/>
          <w:color w:val="auto"/>
        </w:rPr>
      </w:pPr>
      <w:r>
        <w:rPr>
          <w:rFonts w:ascii="Times New Roman" w:cs="Times New Roman" w:eastAsia="Times New Roman" w:hAnsi="Times New Roman"/>
          <w:sz w:val="14"/>
          <w:szCs w:val="14"/>
          <w:color w:val="auto"/>
        </w:rPr>
        <w:t>Thomas Lydon, Jr.</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193040</wp:posOffset>
            </wp:positionV>
            <wp:extent cx="51974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2" w:name="page43"/>
    <w:bookmarkEnd w:id="42"/>
    <w:p>
      <w:pPr>
        <w:ind w:left="4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12" w:lineRule="exact"/>
        <w:rPr>
          <w:sz w:val="20"/>
          <w:szCs w:val="20"/>
          <w:color w:val="auto"/>
        </w:rPr>
      </w:pPr>
    </w:p>
    <w:p>
      <w:pPr>
        <w:ind w:left="2060" w:hanging="674"/>
        <w:spacing w:after="0"/>
        <w:tabs>
          <w:tab w:leader="none" w:pos="2060" w:val="left"/>
        </w:tabs>
        <w:numPr>
          <w:ilvl w:val="0"/>
          <w:numId w:val="3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36" w:lineRule="exact"/>
        <w:rPr>
          <w:rFonts w:ascii="Times New Roman" w:cs="Times New Roman" w:eastAsia="Times New Roman" w:hAnsi="Times New Roman"/>
          <w:sz w:val="22"/>
          <w:szCs w:val="22"/>
          <w:b w:val="1"/>
          <w:bCs w:val="1"/>
          <w:color w:val="auto"/>
          <w:vertAlign w:val="subscript"/>
        </w:rPr>
      </w:pPr>
    </w:p>
    <w:p>
      <w:pPr>
        <w:ind w:left="2000" w:hanging="614"/>
        <w:spacing w:after="0"/>
        <w:tabs>
          <w:tab w:leader="none" w:pos="2000" w:val="left"/>
        </w:tabs>
        <w:numPr>
          <w:ilvl w:val="0"/>
          <w:numId w:val="33"/>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 John 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26670</wp:posOffset>
            </wp:positionV>
            <wp:extent cx="12509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50950" cy="635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-200660</wp:posOffset>
            </wp:positionV>
            <wp:extent cx="12636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63650" cy="6350"/>
                    </a:xfrm>
                    <a:prstGeom prst="rect">
                      <a:avLst/>
                    </a:prstGeom>
                    <a:noFill/>
                  </pic:spPr>
                </pic:pic>
              </a:graphicData>
            </a:graphic>
          </wp:anchor>
        </w:drawing>
      </w:r>
    </w:p>
    <w:p>
      <w:pPr>
        <w:spacing w:after="0" w:line="5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John Oros</w:t>
      </w:r>
    </w:p>
    <w:p>
      <w:pPr>
        <w:spacing w:after="0" w:line="12" w:lineRule="exact"/>
        <w:rPr>
          <w:sz w:val="20"/>
          <w:szCs w:val="20"/>
          <w:color w:val="auto"/>
        </w:rPr>
      </w:pPr>
    </w:p>
    <w:p>
      <w:pPr>
        <w:ind w:left="1920" w:hanging="534"/>
        <w:spacing w:after="0"/>
        <w:tabs>
          <w:tab w:leader="none" w:pos="1920" w:val="left"/>
        </w:tabs>
        <w:numPr>
          <w:ilvl w:val="0"/>
          <w:numId w:val="3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 James Pierce</w:t>
      </w:r>
    </w:p>
    <w:p>
      <w:pPr>
        <w:spacing w:after="0" w:line="70" w:lineRule="exact"/>
        <w:rPr>
          <w:rFonts w:ascii="Times New Roman" w:cs="Times New Roman" w:eastAsia="Times New Roman" w:hAnsi="Times New Roman"/>
          <w:sz w:val="27"/>
          <w:szCs w:val="27"/>
          <w:color w:val="auto"/>
          <w:vertAlign w:val="subscript"/>
        </w:rPr>
      </w:pPr>
    </w:p>
    <w:p>
      <w:pPr>
        <w:ind w:left="2000"/>
        <w:spacing w:after="0"/>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James Pierce</w:t>
      </w:r>
    </w:p>
    <w:p>
      <w:pPr>
        <w:spacing w:after="0" w:line="14" w:lineRule="exact"/>
        <w:rPr>
          <w:rFonts w:ascii="Times New Roman" w:cs="Times New Roman" w:eastAsia="Times New Roman" w:hAnsi="Times New Roman"/>
          <w:sz w:val="27"/>
          <w:szCs w:val="27"/>
          <w:color w:val="auto"/>
          <w:vertAlign w:val="subscript"/>
        </w:rPr>
      </w:pPr>
    </w:p>
    <w:p>
      <w:pPr>
        <w:ind w:left="1900" w:hanging="514"/>
        <w:spacing w:after="0" w:line="237" w:lineRule="auto"/>
        <w:tabs>
          <w:tab w:leader="none" w:pos="1900" w:val="left"/>
        </w:tabs>
        <w:numPr>
          <w:ilvl w:val="0"/>
          <w:numId w:val="3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 Ronald Vaske</w:t>
      </w:r>
    </w:p>
    <w:p>
      <w:pPr>
        <w:spacing w:after="0" w:line="71" w:lineRule="exact"/>
        <w:rPr>
          <w:rFonts w:ascii="Times New Roman" w:cs="Times New Roman" w:eastAsia="Times New Roman" w:hAnsi="Times New Roman"/>
          <w:sz w:val="27"/>
          <w:szCs w:val="27"/>
          <w:color w:val="auto"/>
          <w:vertAlign w:val="subscript"/>
        </w:rPr>
      </w:pPr>
    </w:p>
    <w:p>
      <w:pPr>
        <w:ind w:left="1980"/>
        <w:spacing w:after="0"/>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Ronald Vaske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-471170</wp:posOffset>
            </wp:positionV>
            <wp:extent cx="12509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50950" cy="635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-119380</wp:posOffset>
            </wp:positionV>
            <wp:extent cx="12509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509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531"/>
        </w:trPr>
        <w:tc>
          <w:tcPr>
            <w:tcW w:w="10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Director</w:t>
            </w:r>
          </w:p>
        </w:tc>
        <w:tc>
          <w:tcPr>
            <w:tcW w:w="22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54"/>
        </w:trPr>
        <w:tc>
          <w:tcPr>
            <w:tcW w:w="10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Director</w:t>
            </w:r>
          </w:p>
        </w:tc>
        <w:tc>
          <w:tcPr>
            <w:tcW w:w="22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54"/>
        </w:trPr>
        <w:tc>
          <w:tcPr>
            <w:tcW w:w="10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Director</w:t>
            </w:r>
          </w:p>
        </w:tc>
        <w:tc>
          <w:tcPr>
            <w:tcW w:w="22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July 2,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186055</wp:posOffset>
            </wp:positionV>
            <wp:extent cx="51974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197475" cy="38735"/>
                    </a:xfrm>
                    <a:prstGeom prst="rect">
                      <a:avLst/>
                    </a:prstGeom>
                    <a:noFill/>
                  </pic:spPr>
                </pic:pic>
              </a:graphicData>
            </a:graphic>
          </wp:anchor>
        </w:drawing>
      </w:r>
    </w:p>
    <w:p>
      <w:pPr>
        <w:sectPr>
          <w:pgSz w:w="11900" w:h="16838" w:orient="portrait"/>
          <w:cols w:equalWidth="0" w:num="2">
            <w:col w:w="2860" w:space="560"/>
            <w:col w:w="5599"/>
          </w:cols>
          <w:pgMar w:left="1440" w:top="10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159385</wp:posOffset>
            </wp:positionV>
            <wp:extent cx="716534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JEFFERSON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179133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140335</wp:posOffset>
            </wp:positionV>
            <wp:extent cx="17913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140335</wp:posOffset>
            </wp:positionV>
            <wp:extent cx="71653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511810</wp:posOffset>
            </wp:positionV>
            <wp:extent cx="71653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600" w:type="dxa"/>
            <w:vAlign w:val="bottom"/>
            <w:gridSpan w:val="2"/>
          </w:tcPr>
          <w:p>
            <w:pPr>
              <w:jc w:val="right"/>
              <w:ind w:right="483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9"/>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26"/>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Definitions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Other Definitions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6"/>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1.4.</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Rules of Construction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17"/>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Issuable in Series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2.3.</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2.4.</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Registrar, Paying Agent and Notice Agent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2.5.</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2.6.</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Holder Lists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2.7.</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Transfer and Exchange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2.8.</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2.9.</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2.10.</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Treasury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Temporary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Cancellation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2.13.</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Defaulted Interest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2.14.</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Global Securities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6"/>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2.15.</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CUSIP Numbers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1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w w:val="96"/>
              </w:rPr>
              <w:t>ARTICLE III. REDEMPTION</w:t>
            </w:r>
          </w:p>
        </w:tc>
        <w:tc>
          <w:tcPr>
            <w:tcW w:w="298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Notice to Trustee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3.3.</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Notice of Redemption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3.4.</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3.5.</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6"/>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3.6.</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1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w w:val="99"/>
              </w:rPr>
              <w:t>ARTICLE IV. COVENANTS</w:t>
            </w:r>
          </w:p>
        </w:tc>
        <w:tc>
          <w:tcPr>
            <w:tcW w:w="298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Payment of Principal and Interest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SEC Reports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4.3.</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Compliance Certificate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6"/>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4.4.</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1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298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4"/>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5.1.</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When Company May Merge, Etc.</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6"/>
        </w:trPr>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5.2.</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Successor Corporation Substituted</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4"/>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Events of Default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6.2.</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6.3.</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6.4.</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6.5.</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6.6.</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6.7.</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Limitation on Suits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6.8.</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Unconditional Right of Holders to Receive Principal and Interest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6.9.</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6.10.</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6.12.</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Control by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6.13.</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Waiver of Past Defaults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6"/>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6.14.</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Undertaking for Costs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31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662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Duties of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7.2.</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 of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7.3.</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7.4.</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Trustee’s Disclaimer</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7.5.</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Notice of Defaults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7.6.</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7.7.</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7.8.</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Replacement of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7.9.</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7.10.</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6"/>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317"/>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8.2.</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Trust Funds; Indemnification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8.3.</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Defeasance of Securities of any Series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8.4.</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Covenant Defeasance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8.5.</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to Company</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6"/>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8.6.</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Reinstatement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317"/>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AMENDMENTS AND WAIVERS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9.1.</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9.2.</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Consent of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9.3.</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Limitations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9.4.</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9.5.</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9.6.</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6"/>
        </w:trPr>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9.7.</w:t>
            </w:r>
          </w:p>
        </w:tc>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Protected</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10.2.</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Notices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10.3.</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10.4.</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10.5.</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10.6.</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10.7.</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Legal Holidays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10.8.</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10.9.</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Counterparts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10.10.</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Governing Law; Waiver of Jury Trial; Consent to Jurisdiction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10.11.</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10.12.</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Successors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10.13.</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Severability</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10.14.</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10.15.</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Securities in a Foreign Currency</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10.16.</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Judgment Currency</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10.17.</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Force Majeure</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6"/>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10.18.</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U.S.A. Patriot Act</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317"/>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SINKING FUNDS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11.1.</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Applicability of Article</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4"/>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11.2.</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6"/>
        </w:trPr>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11.3.</w:t>
            </w:r>
          </w:p>
        </w:tc>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7" w:name="page48"/>
    <w:bookmarkEnd w:id="47"/>
    <w:tbl>
      <w:tblPr>
        <w:tblLayout w:type="fixed"/>
        <w:tblInd w:w="74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61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J</w:t>
            </w:r>
            <w:r>
              <w:rPr>
                <w:rFonts w:ascii="Times New Roman" w:cs="Times New Roman" w:eastAsia="Times New Roman" w:hAnsi="Times New Roman"/>
                <w:sz w:val="9"/>
                <w:szCs w:val="9"/>
                <w:b w:val="1"/>
                <w:bCs w:val="1"/>
                <w:color w:val="auto"/>
              </w:rPr>
              <w:t>efferson</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apital</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tc>
      </w:tr>
      <w:tr>
        <w:trPr>
          <w:trHeight w:val="317"/>
        </w:trPr>
        <w:tc>
          <w:tcPr>
            <w:tcW w:w="1900" w:type="dxa"/>
            <w:vAlign w:val="bottom"/>
          </w:tcPr>
          <w:p>
            <w:pPr>
              <w:spacing w:after="0"/>
              <w:rPr>
                <w:sz w:val="24"/>
                <w:szCs w:val="24"/>
                <w:color w:val="auto"/>
              </w:rPr>
            </w:pPr>
          </w:p>
        </w:tc>
        <w:tc>
          <w:tcPr>
            <w:tcW w:w="61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Reconciliation and tie between Trust Indenture Act of 1939 and</w:t>
            </w:r>
          </w:p>
        </w:tc>
      </w:tr>
      <w:tr>
        <w:trPr>
          <w:trHeight w:val="176"/>
        </w:trPr>
        <w:tc>
          <w:tcPr>
            <w:tcW w:w="1900" w:type="dxa"/>
            <w:vAlign w:val="bottom"/>
          </w:tcPr>
          <w:p>
            <w:pPr>
              <w:spacing w:after="0"/>
              <w:rPr>
                <w:sz w:val="15"/>
                <w:szCs w:val="15"/>
                <w:color w:val="auto"/>
              </w:rPr>
            </w:pPr>
          </w:p>
        </w:tc>
        <w:tc>
          <w:tcPr>
            <w:tcW w:w="610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7"/>
              </w:rPr>
              <w:t>Indenture, dated as of ____________, 20__</w:t>
            </w:r>
          </w:p>
        </w:tc>
      </w:tr>
      <w:tr>
        <w:trPr>
          <w:trHeight w:val="317"/>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94"/>
              </w:rPr>
              <w:t>§ 310(a)(1)</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(a)(2)</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(a)(3)</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(a)(4)</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(a)(5)</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311(a)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7.11</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7.11</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312(a)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10.3</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10.3</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313(a)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(b)(1)</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(b)(2)</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(c)(1)</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(d)</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314(a)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4.2, 10.5</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(c)(1)</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10.4</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(c)(2)</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10.4</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(c)(3)</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(d)</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(e)</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10.5</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(f)</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315(a)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7.5</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(c)</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(d)</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(e)</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6.14</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316(a)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2.10</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(a)(1)(A)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6.12</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(a)(1)(B)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6.13</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6.8</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94"/>
              </w:rPr>
              <w:t>§ 317(a)(1)</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6.3</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(a)(2)</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6.4</w:t>
            </w:r>
          </w:p>
        </w:tc>
      </w:tr>
      <w:tr>
        <w:trPr>
          <w:trHeight w:val="164"/>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(b)</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2.5</w:t>
            </w:r>
          </w:p>
        </w:tc>
      </w:tr>
      <w:tr>
        <w:trPr>
          <w:trHeight w:val="176"/>
        </w:trPr>
        <w:tc>
          <w:tcPr>
            <w:tcW w:w="19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 318(a)</w:t>
            </w:r>
          </w:p>
        </w:tc>
        <w:tc>
          <w:tcPr>
            <w:tcW w:w="6100" w:type="dxa"/>
            <w:vAlign w:val="bottom"/>
          </w:tcPr>
          <w:p>
            <w:pPr>
              <w:ind w:left="5260"/>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9133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part of the Indenture.</w:t>
      </w:r>
    </w:p>
    <w:p>
      <w:pPr>
        <w:spacing w:after="0" w:line="3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6534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4"/>
          <w:szCs w:val="14"/>
          <w:color w:val="auto"/>
        </w:rPr>
        <w:t>Indenture dated as of __________, 20__ between Jefferson Capital, Inc., a company incorporated under the laws of Delaware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U.S Bank Trust Company, National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Association, a national banking association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    </w:t>
      </w:r>
      <w:r>
        <w:rPr>
          <w:rFonts w:ascii="Times New Roman" w:cs="Times New Roman" w:eastAsia="Times New Roman" w:hAnsi="Times New Roman"/>
          <w:sz w:val="14"/>
          <w:szCs w:val="14"/>
          <w:u w:val="single" w:color="auto"/>
          <w:color w:val="auto"/>
        </w:rPr>
        <w:t>  Definitions.</w:t>
      </w:r>
    </w:p>
    <w:p>
      <w:pPr>
        <w:spacing w:after="0" w:line="163"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Additional Amounts</w:t>
      </w:r>
      <w:r>
        <w:rPr>
          <w:rFonts w:ascii="Times New Roman" w:cs="Times New Roman" w:eastAsia="Times New Roman" w:hAnsi="Times New Roman"/>
          <w:sz w:val="14"/>
          <w:szCs w:val="14"/>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means any Registrar, Paying Agent or Notice Agent.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6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any and all shares, interests, participations, rights or other equivalents (however designated) of corporate stock.</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means the party named as such above until a successor replaces it and thereafter means the successor.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means a written order signed in the name of the Company by an Officer and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716534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related to this Indenture shall be principally administered.</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passage of time or both would be, an Event of Default.</w:t>
      </w:r>
    </w:p>
    <w:p>
      <w:pPr>
        <w:spacing w:after="0" w:line="16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3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means any Security that provides for an amount less than the stated principal amount thereof to be due and payable upon declaration of acceleration of the maturity thereof pursuant to Section 6.2.</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means the currency of the United States of America.</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Currency</w:t>
      </w:r>
      <w:r>
        <w:rPr>
          <w:rFonts w:ascii="Times New Roman" w:cs="Times New Roman" w:eastAsia="Times New Roman" w:hAnsi="Times New Roman"/>
          <w:sz w:val="14"/>
          <w:szCs w:val="14"/>
          <w:color w:val="auto"/>
        </w:rPr>
        <w:t>” means any currency or currency unit issued by a government other than the government of the United States of America.</w:t>
      </w:r>
    </w:p>
    <w:p>
      <w:pPr>
        <w:spacing w:after="0" w:line="16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Government Obligations</w:t>
      </w:r>
      <w:r>
        <w:rPr>
          <w:rFonts w:ascii="Times New Roman" w:cs="Times New Roman" w:eastAsia="Times New Roman" w:hAnsi="Times New Roman"/>
          <w:sz w:val="14"/>
          <w:szCs w:val="14"/>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3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“GAAP” </w:t>
      </w:r>
      <w:r>
        <w:rPr>
          <w:rFonts w:ascii="Times New Roman" w:cs="Times New Roman" w:eastAsia="Times New Roman" w:hAnsi="Times New Roman"/>
          <w:sz w:val="14"/>
          <w:szCs w:val="14"/>
          <w:color w:val="auto"/>
        </w:rPr>
        <w:t>means generally accepted accounting principles in the United States of America set forth in the opinions and pronouncements of the Accounting Principles Board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3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means a person in whose name a Security is registered on the Registrar’s books.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means this Indenture as amended or supplemented from time to time and shall include the form and terms of particular Series of Securities established as contemplated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with respect to any Discount Security which by its terms bears interest only after Maturity, means interest payable after Maturity.</w:t>
      </w:r>
    </w:p>
    <w:p>
      <w:pPr>
        <w:spacing w:after="0" w:line="16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Chief Executive Officer, President, the Chief Financial Officer, the Treasurer or any Assistant Treasurer, the Secretary or any Assistant Secretary and any Vice President of the Company.</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by any Officer that meets the requirements of this Indenture.</w:t>
      </w:r>
    </w:p>
    <w:p>
      <w:pPr>
        <w:spacing w:after="0" w:line="16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who is acceptable to the Trustee. The counsel may be an employee of or counsel to the Company. The opinion may contain customary limitations, conditions and exceptions.</w:t>
      </w:r>
    </w:p>
    <w:p>
      <w:pPr>
        <w:spacing w:after="0" w:line="12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association, limited liability company, joint-stock company, trust, unincorporated organization or government or any agency or political subdivision thereof.</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a Security means the principal of the Security plus, when appropriate, the premium, if any, on, and any Additional Amounts in respect of, the Security.</w:t>
      </w:r>
    </w:p>
    <w:p>
      <w:pPr>
        <w:spacing w:after="0" w:line="167"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Responsible Officer</w:t>
      </w:r>
      <w:r>
        <w:rPr>
          <w:rFonts w:ascii="Times New Roman" w:cs="Times New Roman" w:eastAsia="Times New Roman" w:hAnsi="Times New Roman"/>
          <w:sz w:val="14"/>
          <w:szCs w:val="14"/>
          <w:color w:val="auto"/>
        </w:rPr>
        <w:t>” means any officer of the Trustee in its Corporate Trust Office having responsibility for administration of this Indenture and also means, with respect to a particular corporate trust matter, any other officer to whom any corporate trust matter relating to this Indenture is referred because of his or her knowledge of and familiarity with a particular subject.</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Securities and Exchange Commission.</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means the debentures, notes or other debt instruments of the Company of any Series authenticated and delivered under this Indenture.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means each series of debentures, notes or other debt instruments of the Company created pursuant to Sections 2.1 and 2.2 hereof.</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Stated Maturity</w:t>
      </w:r>
      <w:r>
        <w:rPr>
          <w:rFonts w:ascii="Times New Roman" w:cs="Times New Roman" w:eastAsia="Times New Roman" w:hAnsi="Times New Roman"/>
          <w:sz w:val="13"/>
          <w:szCs w:val="13"/>
          <w:color w:val="auto"/>
        </w:rPr>
        <w:t>” when used with respect to any Security, means the date specified in such Security as the fixed date on which the principal of such Security or interest is due and payable.</w:t>
      </w:r>
    </w:p>
    <w:p>
      <w:pPr>
        <w:spacing w:after="0" w:line="179"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1" w:name="page52"/>
    <w:bookmarkEnd w:id="51"/>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TIA</w:t>
      </w:r>
      <w:r>
        <w:rPr>
          <w:rFonts w:ascii="Times New Roman" w:cs="Times New Roman" w:eastAsia="Times New Roman" w:hAnsi="Times New Roman"/>
          <w:sz w:val="14"/>
          <w:szCs w:val="14"/>
          <w:color w:val="auto"/>
        </w:rPr>
        <w:t xml:space="preserve">”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2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7" w:lineRule="exact"/>
        <w:rPr>
          <w:sz w:val="20"/>
          <w:szCs w:val="20"/>
          <w:color w:val="auto"/>
        </w:rPr>
      </w:pPr>
    </w:p>
    <w:p>
      <w:pPr>
        <w:jc w:val="both"/>
        <w:ind w:firstLine="985"/>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Section 1.2.      Other Definitions.</w:t>
            </w:r>
          </w:p>
        </w:tc>
        <w:tc>
          <w:tcPr>
            <w:tcW w:w="3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308"/>
        </w:trPr>
        <w:tc>
          <w:tcPr>
            <w:tcW w:w="5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3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7260" w:type="dxa"/>
            <w:vAlign w:val="bottom"/>
            <w:gridSpan w:val="3"/>
          </w:tcPr>
          <w:p>
            <w:pPr>
              <w:ind w:left="3760"/>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20"/>
        </w:trPr>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2"/>
        </w:trPr>
        <w:tc>
          <w:tcPr>
            <w:tcW w:w="50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 Member</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w w:val="97"/>
              </w:rPr>
              <w:t>2.14.6</w:t>
            </w:r>
          </w:p>
        </w:tc>
        <w:tc>
          <w:tcPr>
            <w:tcW w:w="2120" w:type="dxa"/>
            <w:vAlign w:val="bottom"/>
          </w:tcPr>
          <w:p>
            <w:pPr>
              <w:spacing w:after="0"/>
              <w:rPr>
                <w:sz w:val="24"/>
                <w:szCs w:val="2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6.1</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6.1</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6.1</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w w:val="95"/>
              </w:rPr>
              <w:t>10.16</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w:t>
            </w:r>
          </w:p>
        </w:tc>
        <w:tc>
          <w:tcPr>
            <w:tcW w:w="5140" w:type="dxa"/>
            <w:vAlign w:val="bottom"/>
            <w:gridSpan w:val="2"/>
          </w:tcPr>
          <w:p>
            <w:pPr>
              <w:jc w:val="center"/>
              <w:ind w:left="3672"/>
              <w:spacing w:after="0"/>
              <w:rPr>
                <w:sz w:val="20"/>
                <w:szCs w:val="20"/>
                <w:color w:val="auto"/>
              </w:rPr>
            </w:pPr>
            <w:r>
              <w:rPr>
                <w:rFonts w:ascii="Times New Roman" w:cs="Times New Roman" w:eastAsia="Times New Roman" w:hAnsi="Times New Roman"/>
                <w:sz w:val="14"/>
                <w:szCs w:val="14"/>
                <w:color w:val="auto"/>
                <w:w w:val="97"/>
              </w:rPr>
              <w:t>11.1</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w w:val="95"/>
              </w:rPr>
              <w:t>10.16</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2.4</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w:t>
            </w:r>
          </w:p>
        </w:tc>
        <w:tc>
          <w:tcPr>
            <w:tcW w:w="5140" w:type="dxa"/>
            <w:vAlign w:val="bottom"/>
            <w:gridSpan w:val="2"/>
          </w:tcPr>
          <w:p>
            <w:pPr>
              <w:jc w:val="center"/>
              <w:ind w:left="3672"/>
              <w:spacing w:after="0"/>
              <w:rPr>
                <w:sz w:val="20"/>
                <w:szCs w:val="20"/>
                <w:color w:val="auto"/>
              </w:rPr>
            </w:pPr>
            <w:r>
              <w:rPr>
                <w:rFonts w:ascii="Times New Roman" w:cs="Times New Roman" w:eastAsia="Times New Roman" w:hAnsi="Times New Roman"/>
                <w:sz w:val="14"/>
                <w:szCs w:val="14"/>
                <w:color w:val="auto"/>
                <w:w w:val="97"/>
              </w:rPr>
              <w:t>11.1</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2.4</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2.4</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w w:val="95"/>
              </w:rPr>
              <w:t>10.16</w:t>
            </w:r>
          </w:p>
        </w:tc>
        <w:tc>
          <w:tcPr>
            <w:tcW w:w="2120" w:type="dxa"/>
            <w:vAlign w:val="bottom"/>
          </w:tcPr>
          <w:p>
            <w:pPr>
              <w:spacing w:after="0"/>
              <w:rPr>
                <w:sz w:val="14"/>
                <w:szCs w:val="14"/>
                <w:color w:val="auto"/>
              </w:rPr>
            </w:pPr>
          </w:p>
        </w:tc>
      </w:tr>
      <w:tr>
        <w:trPr>
          <w:trHeight w:val="164"/>
        </w:trPr>
        <w:tc>
          <w:tcPr>
            <w:tcW w:w="50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w w:val="95"/>
              </w:rPr>
              <w:t>10.10</w:t>
            </w:r>
          </w:p>
        </w:tc>
        <w:tc>
          <w:tcPr>
            <w:tcW w:w="2120" w:type="dxa"/>
            <w:vAlign w:val="bottom"/>
          </w:tcPr>
          <w:p>
            <w:pPr>
              <w:spacing w:after="0"/>
              <w:rPr>
                <w:sz w:val="14"/>
                <w:szCs w:val="14"/>
                <w:color w:val="auto"/>
              </w:rPr>
            </w:pPr>
          </w:p>
        </w:tc>
      </w:tr>
      <w:tr>
        <w:trPr>
          <w:trHeight w:val="180"/>
        </w:trPr>
        <w:tc>
          <w:tcPr>
            <w:tcW w:w="500" w:type="dxa"/>
            <w:vAlign w:val="bottom"/>
          </w:tcPr>
          <w:p>
            <w:pPr>
              <w:spacing w:after="0"/>
              <w:rPr>
                <w:sz w:val="15"/>
                <w:szCs w:val="15"/>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w:t>
            </w:r>
          </w:p>
        </w:tc>
        <w:tc>
          <w:tcPr>
            <w:tcW w:w="5140" w:type="dxa"/>
            <w:vAlign w:val="bottom"/>
            <w:gridSpan w:val="2"/>
          </w:tcPr>
          <w:p>
            <w:pPr>
              <w:jc w:val="center"/>
              <w:ind w:left="3692"/>
              <w:spacing w:after="0"/>
              <w:rPr>
                <w:sz w:val="20"/>
                <w:szCs w:val="20"/>
                <w:color w:val="auto"/>
              </w:rPr>
            </w:pPr>
            <w:r>
              <w:rPr>
                <w:rFonts w:ascii="Times New Roman" w:cs="Times New Roman" w:eastAsia="Times New Roman" w:hAnsi="Times New Roman"/>
                <w:sz w:val="14"/>
                <w:szCs w:val="14"/>
                <w:color w:val="auto"/>
              </w:rPr>
              <w:t>5.1</w:t>
            </w:r>
          </w:p>
        </w:tc>
        <w:tc>
          <w:tcPr>
            <w:tcW w:w="2120" w:type="dxa"/>
            <w:vAlign w:val="bottom"/>
          </w:tcPr>
          <w:p>
            <w:pPr>
              <w:spacing w:after="0"/>
              <w:rPr>
                <w:sz w:val="15"/>
                <w:szCs w:val="15"/>
                <w:color w:val="auto"/>
              </w:rPr>
            </w:pPr>
          </w:p>
        </w:tc>
      </w:tr>
      <w:tr>
        <w:trPr>
          <w:trHeight w:val="493"/>
        </w:trPr>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032"/>
              <w:spacing w:after="0"/>
              <w:rPr>
                <w:sz w:val="20"/>
                <w:szCs w:val="20"/>
                <w:color w:val="auto"/>
              </w:rPr>
            </w:pPr>
            <w:r>
              <w:rPr>
                <w:rFonts w:ascii="Times New Roman" w:cs="Times New Roman" w:eastAsia="Times New Roman" w:hAnsi="Times New Roman"/>
                <w:sz w:val="14"/>
                <w:szCs w:val="14"/>
                <w:color w:val="auto"/>
              </w:rPr>
              <w:t>4</w:t>
            </w:r>
          </w:p>
        </w:tc>
        <w:tc>
          <w:tcPr>
            <w:tcW w:w="1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8" w:right="319" w:bottom="1440" w:gutter="0" w:footer="0" w:header="0"/>
        </w:sectPr>
      </w:pPr>
    </w:p>
    <w:bookmarkStart w:id="52" w:name="page53"/>
    <w:bookmarkEnd w:id="52"/>
    <w:p>
      <w:pPr>
        <w:ind w:left="500"/>
        <w:spacing w:after="0"/>
        <w:rPr>
          <w:sz w:val="20"/>
          <w:szCs w:val="20"/>
          <w:color w:val="auto"/>
        </w:rPr>
      </w:pPr>
      <w:r>
        <w:rPr>
          <w:rFonts w:ascii="Times New Roman" w:cs="Times New Roman" w:eastAsia="Times New Roman" w:hAnsi="Times New Roman"/>
          <w:sz w:val="14"/>
          <w:szCs w:val="14"/>
          <w:color w:val="auto"/>
        </w:rPr>
        <w:t>Section 1.3.    </w:t>
      </w:r>
      <w:r>
        <w:rPr>
          <w:rFonts w:ascii="Times New Roman" w:cs="Times New Roman" w:eastAsia="Times New Roman" w:hAnsi="Times New Roman"/>
          <w:sz w:val="14"/>
          <w:szCs w:val="14"/>
          <w:u w:val="single" w:color="auto"/>
          <w:color w:val="auto"/>
        </w:rPr>
        <w:t>  Incorporation by Reference of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 The following TIA terms used in this Indenture have the following meanings:</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Commission</w:t>
      </w:r>
      <w:r>
        <w:rPr>
          <w:rFonts w:ascii="Times New Roman" w:cs="Times New Roman" w:eastAsia="Times New Roman" w:hAnsi="Times New Roman"/>
          <w:sz w:val="14"/>
          <w:szCs w:val="14"/>
          <w:color w:val="auto"/>
        </w:rPr>
        <w:t>” means the SEC.</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security holder</w:t>
      </w:r>
      <w:r>
        <w:rPr>
          <w:rFonts w:ascii="Times New Roman" w:cs="Times New Roman" w:eastAsia="Times New Roman" w:hAnsi="Times New Roman"/>
          <w:sz w:val="14"/>
          <w:szCs w:val="14"/>
          <w:color w:val="auto"/>
        </w:rPr>
        <w:t>” means a Holder.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to be qualified</w:t>
      </w:r>
      <w:r>
        <w:rPr>
          <w:rFonts w:ascii="Times New Roman" w:cs="Times New Roman" w:eastAsia="Times New Roman" w:hAnsi="Times New Roman"/>
          <w:sz w:val="14"/>
          <w:szCs w:val="14"/>
          <w:color w:val="auto"/>
        </w:rPr>
        <w:t>” means this Indenture.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institutional trustee</w:t>
      </w:r>
      <w:r>
        <w:rPr>
          <w:rFonts w:ascii="Times New Roman" w:cs="Times New Roman" w:eastAsia="Times New Roman" w:hAnsi="Times New Roman"/>
          <w:sz w:val="14"/>
          <w:szCs w:val="14"/>
          <w:color w:val="auto"/>
        </w:rPr>
        <w:t>” means the Trustee.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on the indenture securities means the Company and any successor obligor upon the Securities.</w:t>
      </w:r>
    </w:p>
    <w:p>
      <w:pPr>
        <w:spacing w:after="0" w:line="171"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1.4.    </w:t>
      </w:r>
      <w:r>
        <w:rPr>
          <w:rFonts w:ascii="Times New Roman" w:cs="Times New Roman" w:eastAsia="Times New Roman" w:hAnsi="Times New Roman"/>
          <w:sz w:val="14"/>
          <w:szCs w:val="14"/>
          <w:u w:val="single" w:color="auto"/>
          <w:color w:val="auto"/>
        </w:rPr>
        <w:t>  Rules of Construction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a term has the meaning assigned to it;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an accounting term not otherwise defined has the meaning assigned to it in accordance with GAAP;</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words in the singular include the plural, and in the plural include the singular;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            provisions apply to successive events and transactions;</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(f)            in the computation of periods of time from a specified date to a later specified date, the word “from” means “from and including,” and the words “to” and “until” each mean “to but excluding”;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            the phrase “in writing” as used herein shall be deemed to include PDFs, e-mails and other electronic means of transmission, unless otherwise indicated.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    </w:t>
      </w:r>
      <w:r>
        <w:rPr>
          <w:rFonts w:ascii="Times New Roman" w:cs="Times New Roman" w:eastAsia="Times New Roman" w:hAnsi="Times New Roman"/>
          <w:sz w:val="14"/>
          <w:szCs w:val="14"/>
          <w:u w:val="single" w:color="auto"/>
          <w:color w:val="auto"/>
        </w:rPr>
        <w:t>  Issuable in Series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3" w:name="page54"/>
    <w:bookmarkEnd w:id="53"/>
    <w:p>
      <w:pPr>
        <w:ind w:left="500"/>
        <w:spacing w:after="0"/>
        <w:rPr>
          <w:sz w:val="20"/>
          <w:szCs w:val="20"/>
          <w:color w:val="auto"/>
        </w:rPr>
      </w:pPr>
      <w:r>
        <w:rPr>
          <w:rFonts w:ascii="Times New Roman" w:cs="Times New Roman" w:eastAsia="Times New Roman" w:hAnsi="Times New Roman"/>
          <w:sz w:val="14"/>
          <w:szCs w:val="14"/>
          <w:color w:val="auto"/>
        </w:rPr>
        <w:t>Section 2.2.    </w:t>
      </w:r>
      <w:r>
        <w:rPr>
          <w:rFonts w:ascii="Times New Roman" w:cs="Times New Roman" w:eastAsia="Times New Roman" w:hAnsi="Times New Roman"/>
          <w:sz w:val="14"/>
          <w:szCs w:val="14"/>
          <w:u w:val="single" w:color="auto"/>
          <w:color w:val="auto"/>
        </w:rPr>
        <w:t>  Establishment of Terms of Series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2.2.1.            the title (which shall distinguish the Securities of that particular Series from the Securities of any other Series) and ranking (including the terms of any subordination provisions)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Series;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3"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3"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4" w:name="page55"/>
    <w:bookmarkEnd w:id="54"/>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3"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2.2.17.            the provisions, if any, relating to any security provided for the Securities of the Series;</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2.2.19.            any addition to, deletion of or change in the covenants applicable to Securities of the Series;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3"/>
          <w:szCs w:val="13"/>
          <w:color w:val="auto"/>
        </w:rPr>
        <w:t>2.2.20.            any Depositaries, interest rate calculation agents, exchange rate calculation agents or other agents with respect to Securities of such Series if other than those appointed herein;</w:t>
      </w:r>
    </w:p>
    <w:p>
      <w:pPr>
        <w:spacing w:after="0" w:line="179"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43"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2.2.23.            whether any of the Company’s direct or indirect Subsidiaries will guarantee the Securities of that Series, including the terms of subordination, if any, of such guarantees.</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2.3.    </w:t>
      </w:r>
      <w:r>
        <w:rPr>
          <w:rFonts w:ascii="Times New Roman" w:cs="Times New Roman" w:eastAsia="Times New Roman" w:hAnsi="Times New Roman"/>
          <w:sz w:val="14"/>
          <w:szCs w:val="14"/>
          <w:u w:val="single" w:color="auto"/>
          <w:color w:val="auto"/>
        </w:rPr>
        <w:t>  Execution and Authentication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 Officer shall sign the Securities for the Company by manual, facsimile or electronic signature.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an authorized officer of the Trustee or an authenticating agent. The signature shall be conclusive evidence that the Security has been authenticated under this Indenture.</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36"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3"/>
          <w:szCs w:val="13"/>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w:t>
      </w:r>
    </w:p>
    <w:p>
      <w:pPr>
        <w:spacing w:after="0" w:line="1" w:lineRule="exact"/>
        <w:rPr>
          <w:sz w:val="20"/>
          <w:szCs w:val="20"/>
          <w:color w:val="auto"/>
        </w:rPr>
      </w:pPr>
    </w:p>
    <w:p>
      <w:pPr>
        <w:ind w:left="5600" w:right="3720" w:hanging="5598"/>
        <w:spacing w:after="0" w:line="738" w:lineRule="auto"/>
        <w:tabs>
          <w:tab w:leader="none" w:pos="18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complying with Sections 10.4 and 10.5, and (c) an Opinion of Counsel complying with Sections 10.4 and 10.5.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1653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6" w:name="page57"/>
    <w:bookmarkEnd w:id="56"/>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36"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2.4.    </w:t>
      </w:r>
      <w:r>
        <w:rPr>
          <w:rFonts w:ascii="Times New Roman" w:cs="Times New Roman" w:eastAsia="Times New Roman" w:hAnsi="Times New Roman"/>
          <w:sz w:val="14"/>
          <w:szCs w:val="14"/>
          <w:u w:val="single" w:color="auto"/>
          <w:color w:val="auto"/>
        </w:rPr>
        <w:t>  Registrar, Paying Agent and Notice Agent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7" w:lineRule="auto"/>
        <w:rPr>
          <w:sz w:val="20"/>
          <w:szCs w:val="20"/>
          <w:color w:val="auto"/>
        </w:rPr>
      </w:pPr>
      <w:r>
        <w:rPr>
          <w:rFonts w:ascii="Times New Roman" w:cs="Times New Roman" w:eastAsia="Times New Roman" w:hAnsi="Times New Roman"/>
          <w:sz w:val="14"/>
          <w:szCs w:val="14"/>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where Securities of such Series may be surrendered for registration of transfer or exchange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and where notices and demands to or upon the Company in respect of the Securities of such Series and this Indenture may be delivered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appointment of the Trustee as the Notice Agent shall exclude the appointment of the Trustee or any office of the Trustee as an agent to receive the service of legal process on the Company.</w:t>
      </w:r>
    </w:p>
    <w:p>
      <w:pPr>
        <w:spacing w:after="0" w:line="152"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includes any co-registrar; the term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includes any additional paying agent; and the term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includes any additional notice agent. The Company or any of its Affiliates may serve as Registrar or Paying Agent.</w:t>
      </w:r>
    </w:p>
    <w:p>
      <w:pPr>
        <w:spacing w:after="0" w:line="14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7" w:name="page58"/>
    <w:bookmarkEnd w:id="57"/>
    <w:p>
      <w:pPr>
        <w:ind w:left="500"/>
        <w:spacing w:after="0"/>
        <w:rPr>
          <w:sz w:val="20"/>
          <w:szCs w:val="20"/>
          <w:color w:val="auto"/>
        </w:rPr>
      </w:pPr>
      <w:r>
        <w:rPr>
          <w:rFonts w:ascii="Times New Roman" w:cs="Times New Roman" w:eastAsia="Times New Roman" w:hAnsi="Times New Roman"/>
          <w:sz w:val="14"/>
          <w:szCs w:val="14"/>
          <w:color w:val="auto"/>
        </w:rPr>
        <w:t>Section 2.5.    </w:t>
      </w:r>
      <w:r>
        <w:rPr>
          <w:rFonts w:ascii="Times New Roman" w:cs="Times New Roman" w:eastAsia="Times New Roman" w:hAnsi="Times New Roman"/>
          <w:sz w:val="14"/>
          <w:szCs w:val="14"/>
          <w:u w:val="single" w:color="auto"/>
          <w:color w:val="auto"/>
        </w:rPr>
        <w:t>  Paying Agent to Hold Money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7"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2.6.    </w:t>
      </w:r>
      <w:r>
        <w:rPr>
          <w:rFonts w:ascii="Times New Roman" w:cs="Times New Roman" w:eastAsia="Times New Roman" w:hAnsi="Times New Roman"/>
          <w:sz w:val="14"/>
          <w:szCs w:val="14"/>
          <w:u w:val="single" w:color="auto"/>
          <w:color w:val="auto"/>
        </w:rPr>
        <w:t>  Holder Lists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43"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2.7.    </w:t>
      </w:r>
      <w:r>
        <w:rPr>
          <w:rFonts w:ascii="Times New Roman" w:cs="Times New Roman" w:eastAsia="Times New Roman" w:hAnsi="Times New Roman"/>
          <w:sz w:val="14"/>
          <w:szCs w:val="14"/>
          <w:u w:val="single" w:color="auto"/>
          <w:color w:val="auto"/>
        </w:rPr>
        <w:t>  Transfer and Exchange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8" w:name="page59"/>
    <w:bookmarkEnd w:id="58"/>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2.8.    </w:t>
      </w:r>
      <w:r>
        <w:rPr>
          <w:rFonts w:ascii="Times New Roman" w:cs="Times New Roman" w:eastAsia="Times New Roman" w:hAnsi="Times New Roman"/>
          <w:sz w:val="14"/>
          <w:szCs w:val="14"/>
          <w:u w:val="single" w:color="auto"/>
          <w:color w:val="auto"/>
        </w:rPr>
        <w:t>  Mutilated, Destroyed, Lost and Stolen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6"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In case any such mutilated, destroyed, lost or stolen Security has become or is about to become due and payable, the Company in its discretion may, instead of issuing a new Security, pay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Security.</w:t>
      </w:r>
    </w:p>
    <w:p>
      <w:pPr>
        <w:spacing w:after="0" w:line="15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6"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9" w:name="page60"/>
    <w:bookmarkEnd w:id="59"/>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2.9.    </w:t>
      </w:r>
      <w:r>
        <w:rPr>
          <w:rFonts w:ascii="Times New Roman" w:cs="Times New Roman" w:eastAsia="Times New Roman" w:hAnsi="Times New Roman"/>
          <w:sz w:val="14"/>
          <w:szCs w:val="14"/>
          <w:u w:val="single" w:color="auto"/>
          <w:color w:val="auto"/>
        </w:rPr>
        <w:t>  Outstanding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36"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2.10.    </w:t>
      </w:r>
      <w:r>
        <w:rPr>
          <w:rFonts w:ascii="Times New Roman" w:cs="Times New Roman" w:eastAsia="Times New Roman" w:hAnsi="Times New Roman"/>
          <w:sz w:val="14"/>
          <w:szCs w:val="14"/>
          <w:u w:val="single" w:color="auto"/>
          <w:color w:val="auto"/>
        </w:rPr>
        <w:t>  Treasury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2.11.    </w:t>
      </w:r>
      <w:r>
        <w:rPr>
          <w:rFonts w:ascii="Times New Roman" w:cs="Times New Roman" w:eastAsia="Times New Roman" w:hAnsi="Times New Roman"/>
          <w:sz w:val="14"/>
          <w:szCs w:val="14"/>
          <w:u w:val="single" w:color="auto"/>
          <w:color w:val="auto"/>
        </w:rPr>
        <w:t>  Temporary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0" w:name="page61"/>
    <w:bookmarkEnd w:id="60"/>
    <w:p>
      <w:pPr>
        <w:ind w:left="500"/>
        <w:spacing w:after="0"/>
        <w:rPr>
          <w:sz w:val="20"/>
          <w:szCs w:val="20"/>
          <w:color w:val="auto"/>
        </w:rPr>
      </w:pPr>
      <w:r>
        <w:rPr>
          <w:rFonts w:ascii="Times New Roman" w:cs="Times New Roman" w:eastAsia="Times New Roman" w:hAnsi="Times New Roman"/>
          <w:sz w:val="14"/>
          <w:szCs w:val="14"/>
          <w:color w:val="auto"/>
        </w:rPr>
        <w:t>Section 2.12.    </w:t>
      </w:r>
      <w:r>
        <w:rPr>
          <w:rFonts w:ascii="Times New Roman" w:cs="Times New Roman" w:eastAsia="Times New Roman" w:hAnsi="Times New Roman"/>
          <w:sz w:val="14"/>
          <w:szCs w:val="14"/>
          <w:u w:val="single" w:color="auto"/>
          <w:color w:val="auto"/>
        </w:rPr>
        <w:t>  Cancellation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2.13.    </w:t>
      </w:r>
      <w:r>
        <w:rPr>
          <w:rFonts w:ascii="Times New Roman" w:cs="Times New Roman" w:eastAsia="Times New Roman" w:hAnsi="Times New Roman"/>
          <w:sz w:val="14"/>
          <w:szCs w:val="14"/>
          <w:u w:val="single" w:color="auto"/>
          <w:color w:val="auto"/>
        </w:rPr>
        <w:t>  Defaulted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2.14.    </w:t>
      </w:r>
      <w:r>
        <w:rPr>
          <w:rFonts w:ascii="Times New Roman" w:cs="Times New Roman" w:eastAsia="Times New Roman" w:hAnsi="Times New Roman"/>
          <w:sz w:val="14"/>
          <w:szCs w:val="14"/>
          <w:u w:val="single" w:color="auto"/>
          <w:color w:val="auto"/>
        </w:rPr>
        <w:t>  Global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2.14.1.          </w:t>
      </w:r>
      <w:r>
        <w:rPr>
          <w:rFonts w:ascii="Times New Roman" w:cs="Times New Roman" w:eastAsia="Times New Roman" w:hAnsi="Times New Roman"/>
          <w:sz w:val="14"/>
          <w:szCs w:val="14"/>
          <w:u w:val="single" w:color="auto"/>
          <w:color w:val="auto"/>
        </w:rPr>
        <w:t>  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6"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2.14.2.          </w:t>
      </w:r>
      <w:r>
        <w:rPr>
          <w:rFonts w:ascii="Times New Roman" w:cs="Times New Roman" w:eastAsia="Times New Roman" w:hAnsi="Times New Roman"/>
          <w:sz w:val="14"/>
          <w:szCs w:val="14"/>
          <w:u w:val="single" w:color="auto"/>
          <w:color w:val="auto"/>
        </w:rPr>
        <w:t>  Transfer and Exchange</w:t>
      </w:r>
      <w:r>
        <w:rPr>
          <w:rFonts w:ascii="Times New Roman" w:cs="Times New Roman" w:eastAsia="Times New Roman" w:hAnsi="Times New Roman"/>
          <w:sz w:val="14"/>
          <w:szCs w:val="14"/>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4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1" w:name="page62"/>
    <w:bookmarkEnd w:id="61"/>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5"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2.14.3.          </w:t>
      </w:r>
      <w:r>
        <w:rPr>
          <w:rFonts w:ascii="Times New Roman" w:cs="Times New Roman" w:eastAsia="Times New Roman" w:hAnsi="Times New Roman"/>
          <w:sz w:val="14"/>
          <w:szCs w:val="14"/>
          <w:u w:val="single" w:color="auto"/>
          <w:color w:val="auto"/>
        </w:rPr>
        <w:t>  Legends</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167"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In addition, so long as The Depository Trust Company (“DTC”) is the Depositary, each Global Security registered in the name of DTC or its nominee shall bear a legend in substantially the following form:</w:t>
      </w:r>
    </w:p>
    <w:p>
      <w:pPr>
        <w:spacing w:after="0" w:line="136"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2" w:name="page63"/>
    <w:bookmarkEnd w:id="62"/>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2.14.4.          </w:t>
      </w:r>
      <w:r>
        <w:rPr>
          <w:rFonts w:ascii="Times New Roman" w:cs="Times New Roman" w:eastAsia="Times New Roman" w:hAnsi="Times New Roman"/>
          <w:sz w:val="14"/>
          <w:szCs w:val="14"/>
          <w:u w:val="single" w:color="auto"/>
          <w:color w:val="auto"/>
        </w:rPr>
        <w:t>  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2.14.5.          </w:t>
      </w:r>
      <w:r>
        <w:rPr>
          <w:rFonts w:ascii="Times New Roman" w:cs="Times New Roman" w:eastAsia="Times New Roman" w:hAnsi="Times New Roman"/>
          <w:sz w:val="14"/>
          <w:szCs w:val="14"/>
          <w:u w:val="single" w:color="auto"/>
          <w:color w:val="auto"/>
        </w:rPr>
        <w:t>  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6"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2.14.6.          </w:t>
      </w:r>
      <w:r>
        <w:rPr>
          <w:rFonts w:ascii="Times New Roman" w:cs="Times New Roman" w:eastAsia="Times New Roman" w:hAnsi="Times New Roman"/>
          <w:sz w:val="14"/>
          <w:szCs w:val="14"/>
          <w:u w:val="single" w:color="auto"/>
          <w:color w:val="auto"/>
        </w:rPr>
        <w:t>  Agent Members</w:t>
      </w:r>
      <w:r>
        <w:rPr>
          <w:rFonts w:ascii="Times New Roman" w:cs="Times New Roman" w:eastAsia="Times New Roman" w:hAnsi="Times New Roman"/>
          <w:sz w:val="14"/>
          <w:szCs w:val="14"/>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4"/>
          <w:szCs w:val="14"/>
          <w:i w:val="1"/>
          <w:iCs w:val="1"/>
          <w:color w:val="auto"/>
        </w:rPr>
        <w:t>Agent Members</w:t>
      </w:r>
      <w:r>
        <w:rPr>
          <w:rFonts w:ascii="Times New Roman" w:cs="Times New Roman" w:eastAsia="Times New Roman" w:hAnsi="Times New Roman"/>
          <w:sz w:val="14"/>
          <w:szCs w:val="14"/>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2.15.    </w:t>
      </w:r>
      <w:r>
        <w:rPr>
          <w:rFonts w:ascii="Times New Roman" w:cs="Times New Roman" w:eastAsia="Times New Roman" w:hAnsi="Times New Roman"/>
          <w:sz w:val="14"/>
          <w:szCs w:val="14"/>
          <w:u w:val="single" w:color="auto"/>
          <w:color w:val="auto"/>
        </w:rPr>
        <w:t>  CUSIP Numbers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84" w:lineRule="auto"/>
        <w:rPr>
          <w:sz w:val="20"/>
          <w:szCs w:val="20"/>
          <w:color w:val="auto"/>
        </w:rPr>
      </w:pPr>
      <w:r>
        <w:rPr>
          <w:rFonts w:ascii="Times New Roman" w:cs="Times New Roman" w:eastAsia="Times New Roman" w:hAnsi="Times New Roman"/>
          <w:sz w:val="13"/>
          <w:szCs w:val="13"/>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REDEMPTION</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3.1.    </w:t>
      </w:r>
      <w:r>
        <w:rPr>
          <w:rFonts w:ascii="Times New Roman" w:cs="Times New Roman" w:eastAsia="Times New Roman" w:hAnsi="Times New Roman"/>
          <w:sz w:val="14"/>
          <w:szCs w:val="14"/>
          <w:u w:val="single" w:color="auto"/>
          <w:color w:val="auto"/>
        </w:rPr>
        <w:t>  Notice to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3" w:name="page64"/>
    <w:bookmarkEnd w:id="63"/>
    <w:p>
      <w:pPr>
        <w:ind w:left="500"/>
        <w:spacing w:after="0"/>
        <w:rPr>
          <w:sz w:val="20"/>
          <w:szCs w:val="20"/>
          <w:color w:val="auto"/>
        </w:rPr>
      </w:pPr>
      <w:r>
        <w:rPr>
          <w:rFonts w:ascii="Times New Roman" w:cs="Times New Roman" w:eastAsia="Times New Roman" w:hAnsi="Times New Roman"/>
          <w:sz w:val="14"/>
          <w:szCs w:val="14"/>
          <w:color w:val="auto"/>
        </w:rPr>
        <w:t>Section 3.2.    </w:t>
      </w:r>
      <w:r>
        <w:rPr>
          <w:rFonts w:ascii="Times New Roman" w:cs="Times New Roman" w:eastAsia="Times New Roman" w:hAnsi="Times New Roman"/>
          <w:sz w:val="14"/>
          <w:szCs w:val="14"/>
          <w:u w:val="single" w:color="auto"/>
          <w:color w:val="auto"/>
        </w:rPr>
        <w:t>  Selection of Securities to be Redeemed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8" w:lineRule="auto"/>
        <w:rPr>
          <w:sz w:val="20"/>
          <w:szCs w:val="20"/>
          <w:color w:val="auto"/>
        </w:rPr>
      </w:pPr>
      <w:r>
        <w:rPr>
          <w:rFonts w:ascii="Times New Roman" w:cs="Times New Roman" w:eastAsia="Times New Roman" w:hAnsi="Times New Roman"/>
          <w:sz w:val="13"/>
          <w:szCs w:val="13"/>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3.3.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with a copy to the Trustee.</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the redemption date;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the redemption price;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the name and address of the Paying Agent;</w:t>
      </w:r>
    </w:p>
    <w:p>
      <w:pPr>
        <w:spacing w:after="0" w:line="167"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4"/>
          <w:szCs w:val="14"/>
          <w:color w:val="auto"/>
        </w:rPr>
        <w:t>(e)            that Securities of the Series called for redemption must be surrendered to the Paying Agent to collect the redemption price;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(f)            that interest on Securities of the Series called for redemption ceases to accrue on and after the redemption date unless the Company defaults in the deposit of the redemption price;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            the “CUSIP” number, if any; and</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(h)            any other information as may be required by the terms of the particular Series or the Securities of a Series being redeemed.</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At the Company’s written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3.4.    </w:t>
      </w:r>
      <w:r>
        <w:rPr>
          <w:rFonts w:ascii="Times New Roman" w:cs="Times New Roman" w:eastAsia="Times New Roman" w:hAnsi="Times New Roman"/>
          <w:sz w:val="14"/>
          <w:szCs w:val="14"/>
          <w:u w:val="single" w:color="auto"/>
          <w:color w:val="auto"/>
        </w:rPr>
        <w:t>  Effect of 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Once notice of redemption is sent as provided in Section 3.3, Securities of a Series called for redemption become due and payable on the redemption date and at the redemption price.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otherwise provided in the supplemental indenture, Board Resolution or Officer’s Certificate for a Series, a notice of redemption may not be conditional. Upon surrender to the Paying Agent, such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shall be paid at the redemption price plus accrued interest to the redemption date.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3.5.    </w:t>
      </w:r>
      <w:r>
        <w:rPr>
          <w:rFonts w:ascii="Times New Roman" w:cs="Times New Roman" w:eastAsia="Times New Roman" w:hAnsi="Times New Roman"/>
          <w:sz w:val="14"/>
          <w:szCs w:val="14"/>
          <w:u w:val="single" w:color="auto"/>
          <w:color w:val="auto"/>
        </w:rPr>
        <w:t>  Deposit of Redemption Price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3.6.    </w:t>
      </w:r>
      <w:r>
        <w:rPr>
          <w:rFonts w:ascii="Times New Roman" w:cs="Times New Roman" w:eastAsia="Times New Roman" w:hAnsi="Times New Roman"/>
          <w:sz w:val="14"/>
          <w:szCs w:val="14"/>
          <w:u w:val="single" w:color="auto"/>
          <w:color w:val="auto"/>
        </w:rPr>
        <w:t>  Securities Redeemed in Part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ARTICLE IV.</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COVENANTS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    </w:t>
      </w:r>
      <w:r>
        <w:rPr>
          <w:rFonts w:ascii="Times New Roman" w:cs="Times New Roman" w:eastAsia="Times New Roman" w:hAnsi="Times New Roman"/>
          <w:sz w:val="14"/>
          <w:szCs w:val="14"/>
          <w:u w:val="single" w:color="auto"/>
          <w:color w:val="auto"/>
        </w:rPr>
        <w:t>  Payment of Principal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5" w:name="page66"/>
    <w:bookmarkEnd w:id="65"/>
    <w:p>
      <w:pPr>
        <w:ind w:left="500"/>
        <w:spacing w:after="0"/>
        <w:rPr>
          <w:sz w:val="20"/>
          <w:szCs w:val="20"/>
          <w:color w:val="auto"/>
        </w:rPr>
      </w:pPr>
      <w:r>
        <w:rPr>
          <w:rFonts w:ascii="Times New Roman" w:cs="Times New Roman" w:eastAsia="Times New Roman" w:hAnsi="Times New Roman"/>
          <w:sz w:val="14"/>
          <w:szCs w:val="14"/>
          <w:color w:val="auto"/>
        </w:rPr>
        <w:t>Section 4.2.    </w:t>
      </w:r>
      <w:r>
        <w:rPr>
          <w:rFonts w:ascii="Times New Roman" w:cs="Times New Roman" w:eastAsia="Times New Roman" w:hAnsi="Times New Roman"/>
          <w:sz w:val="14"/>
          <w:szCs w:val="14"/>
          <w:u w:val="single" w:color="auto"/>
          <w:color w:val="auto"/>
        </w:rPr>
        <w:t>  SEC Reports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45"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4.3.    </w:t>
      </w:r>
      <w:r>
        <w:rPr>
          <w:rFonts w:ascii="Times New Roman" w:cs="Times New Roman" w:eastAsia="Times New Roman" w:hAnsi="Times New Roman"/>
          <w:sz w:val="14"/>
          <w:szCs w:val="14"/>
          <w:u w:val="single" w:color="auto"/>
          <w:color w:val="auto"/>
        </w:rPr>
        <w:t>  Compliance Certificate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4.4.    </w:t>
      </w:r>
      <w:r>
        <w:rPr>
          <w:rFonts w:ascii="Times New Roman" w:cs="Times New Roman" w:eastAsia="Times New Roman" w:hAnsi="Times New Roman"/>
          <w:sz w:val="14"/>
          <w:szCs w:val="14"/>
          <w:u w:val="single" w:color="auto"/>
          <w:color w:val="auto"/>
        </w:rPr>
        <w:t>  Stay, Extension and Usury Laws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SUCCESSORS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5.1.    </w:t>
      </w:r>
      <w:r>
        <w:rPr>
          <w:rFonts w:ascii="Times New Roman" w:cs="Times New Roman" w:eastAsia="Times New Roman" w:hAnsi="Times New Roman"/>
          <w:sz w:val="14"/>
          <w:szCs w:val="14"/>
          <w:u w:val="single" w:color="auto"/>
          <w:color w:val="auto"/>
        </w:rPr>
        <w:t>  When Company May Merge, Etc</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3"/>
          <w:szCs w:val="13"/>
          <w:i w:val="1"/>
          <w:iCs w:val="1"/>
          <w:color w:val="auto"/>
        </w:rPr>
        <w:t>successor person</w:t>
      </w:r>
      <w:r>
        <w:rPr>
          <w:rFonts w:ascii="Times New Roman" w:cs="Times New Roman" w:eastAsia="Times New Roman" w:hAnsi="Times New Roman"/>
          <w:sz w:val="13"/>
          <w:szCs w:val="13"/>
          <w:color w:val="auto"/>
        </w:rPr>
        <w:t>”) unless:</w:t>
      </w:r>
    </w:p>
    <w:p>
      <w:pPr>
        <w:spacing w:after="0" w:line="183"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immediately after giving effect to the transaction, no Default or Event of Default, shall have occurred and be continuing.</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5.2.    </w:t>
      </w:r>
      <w:r>
        <w:rPr>
          <w:rFonts w:ascii="Times New Roman" w:cs="Times New Roman" w:eastAsia="Times New Roman" w:hAnsi="Times New Roman"/>
          <w:sz w:val="14"/>
          <w:szCs w:val="14"/>
          <w:u w:val="single" w:color="auto"/>
          <w:color w:val="auto"/>
        </w:rPr>
        <w:t>  Successor Corporation Substituted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77" w:lineRule="auto"/>
        <w:rPr>
          <w:sz w:val="20"/>
          <w:szCs w:val="20"/>
          <w:color w:val="auto"/>
        </w:rPr>
      </w:pPr>
      <w:r>
        <w:rPr>
          <w:rFonts w:ascii="Times New Roman" w:cs="Times New Roman" w:eastAsia="Times New Roman" w:hAnsi="Times New Roman"/>
          <w:sz w:val="13"/>
          <w:szCs w:val="13"/>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predecessor Company in the case of a sale, conveyance or other disposition (other than a lease) shall be released from all obligations and covenants under this Indenture and the Securities.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    </w:t>
      </w:r>
      <w:r>
        <w:rPr>
          <w:rFonts w:ascii="Times New Roman" w:cs="Times New Roman" w:eastAsia="Times New Roman" w:hAnsi="Times New Roman"/>
          <w:sz w:val="14"/>
          <w:szCs w:val="14"/>
          <w:u w:val="single" w:color="auto"/>
          <w:color w:val="auto"/>
        </w:rPr>
        <w:t>  Events of Default</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firstLine="98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31" w:lineRule="exact"/>
        <w:rPr>
          <w:sz w:val="20"/>
          <w:szCs w:val="20"/>
          <w:color w:val="auto"/>
        </w:rPr>
      </w:pPr>
    </w:p>
    <w:p>
      <w:pPr>
        <w:jc w:val="both"/>
        <w:ind w:left="500" w:firstLine="492"/>
        <w:spacing w:after="0" w:line="289" w:lineRule="auto"/>
        <w:rPr>
          <w:sz w:val="20"/>
          <w:szCs w:val="20"/>
          <w:color w:val="auto"/>
        </w:rPr>
      </w:pPr>
      <w:r>
        <w:rPr>
          <w:rFonts w:ascii="Times New Roman" w:cs="Times New Roman" w:eastAsia="Times New Roman" w:hAnsi="Times New Roman"/>
          <w:sz w:val="14"/>
          <w:szCs w:val="14"/>
          <w:color w:val="auto"/>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of such period);</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default in the payment of principal of any Security of that Series at its Maturity;</w:t>
      </w:r>
    </w:p>
    <w:p>
      <w:pPr>
        <w:spacing w:after="0" w:line="167" w:lineRule="exact"/>
        <w:rPr>
          <w:sz w:val="20"/>
          <w:szCs w:val="20"/>
          <w:color w:val="auto"/>
        </w:rPr>
      </w:pPr>
    </w:p>
    <w:p>
      <w:pPr>
        <w:jc w:val="both"/>
        <w:ind w:left="500" w:firstLine="492"/>
        <w:spacing w:after="0" w:line="252" w:lineRule="auto"/>
        <w:rPr>
          <w:sz w:val="20"/>
          <w:szCs w:val="20"/>
          <w:color w:val="auto"/>
        </w:rPr>
      </w:pPr>
      <w:r>
        <w:rPr>
          <w:rFonts w:ascii="Times New Roman" w:cs="Times New Roman" w:eastAsia="Times New Roman" w:hAnsi="Times New Roman"/>
          <w:sz w:val="14"/>
          <w:szCs w:val="14"/>
          <w:color w:val="auto"/>
        </w:rPr>
        <w:t>(c)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the Company pursuant to or within the meaning of any Bankruptcy Law:</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            commences a voluntary case,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(ii)           consents to the entry of an order for relief against it in an involuntary case,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(iii)          consents to the appointment of a Custodian of it or for all or substantially all of its property,</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(iv)         makes a general assignment for the benefit of its creditors, or</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(v)          generally is unable to pay its debts as the same become due;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            a court of competent jurisdiction enters an order or decree under any Bankruptcy Law that:</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            is for relief against the Company in an involuntary case,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(ii)          appoints a Custodian of the Company or for all or substantially all of its property, or</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(iii)         orders the liquidation of the Company,</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 or</w:t>
      </w:r>
    </w:p>
    <w:p>
      <w:pPr>
        <w:spacing w:after="0" w:line="167"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(f)            any other Event of Default provided with respect to Securities of that Series, which is specified in a Board Resolution, a supplemental indenture hereto or an Officer’s Certificate, in accordance with Section 2.2.18.</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8" w:name="page69"/>
    <w:bookmarkEnd w:id="68"/>
    <w:p>
      <w:pPr>
        <w:jc w:val="both"/>
        <w:ind w:firstLine="985"/>
        <w:spacing w:after="0" w:line="272"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 The term “</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31"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6.2.    </w:t>
      </w:r>
      <w:r>
        <w:rPr>
          <w:rFonts w:ascii="Times New Roman" w:cs="Times New Roman" w:eastAsia="Times New Roman" w:hAnsi="Times New Roman"/>
          <w:sz w:val="14"/>
          <w:szCs w:val="14"/>
          <w:u w:val="single" w:color="auto"/>
          <w:color w:val="auto"/>
        </w:rPr>
        <w:t>  Acceleration of Maturity; Rescission and Annulment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w:t>
      </w:r>
    </w:p>
    <w:p>
      <w:pPr>
        <w:spacing w:after="0" w:line="14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6.3.    </w:t>
      </w:r>
      <w:r>
        <w:rPr>
          <w:rFonts w:ascii="Times New Roman" w:cs="Times New Roman" w:eastAsia="Times New Roman" w:hAnsi="Times New Roman"/>
          <w:sz w:val="14"/>
          <w:szCs w:val="14"/>
          <w:u w:val="single" w:color="auto"/>
          <w:color w:val="auto"/>
        </w:rPr>
        <w:t>  Collection of Indebtedness and Suits for Enforcement by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default is made in the payment of any interest on any Security when such interest becomes due and payable and such default continues for a period of 30 days,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9" w:name="page70"/>
    <w:bookmarkEnd w:id="69"/>
    <w:p>
      <w:pPr>
        <w:ind w:left="980"/>
        <w:spacing w:after="0"/>
        <w:rPr>
          <w:sz w:val="20"/>
          <w:szCs w:val="20"/>
          <w:color w:val="auto"/>
        </w:rPr>
      </w:pPr>
      <w:r>
        <w:rPr>
          <w:rFonts w:ascii="Times New Roman" w:cs="Times New Roman" w:eastAsia="Times New Roman" w:hAnsi="Times New Roman"/>
          <w:sz w:val="14"/>
          <w:szCs w:val="14"/>
          <w:color w:val="auto"/>
        </w:rPr>
        <w:t>(b)            default is made in the payment of principal of any Security at the Maturity thereof, or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default is made in the deposit of any sinking fund payment, if any, when and as due by the terms of a Security,</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then, </w:t>
      </w:r>
      <w:r>
        <w:rPr>
          <w:rFonts w:ascii="Times New Roman" w:cs="Times New Roman" w:eastAsia="Times New Roman" w:hAnsi="Times New Roman"/>
          <w:sz w:val="14"/>
          <w:szCs w:val="14"/>
          <w:color w:val="auto"/>
        </w:rPr>
        <w:t>the Company will, upon demand of the Trustee, pay to it, for the benefit of the Holders of such Securities, the whole amount then due and payable on such Securities for principal and interest and,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43"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3"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6.4.    </w:t>
      </w:r>
      <w:r>
        <w:rPr>
          <w:rFonts w:ascii="Times New Roman" w:cs="Times New Roman" w:eastAsia="Times New Roman" w:hAnsi="Times New Roman"/>
          <w:sz w:val="14"/>
          <w:szCs w:val="14"/>
          <w:u w:val="single" w:color="auto"/>
          <w:color w:val="auto"/>
        </w:rPr>
        <w:t>  Trustee May File Proofs of Claim</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5"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to collect and receive any moneys or other property payable or deliverable on any such claims and to distribute the same,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0" w:name="page71"/>
    <w:bookmarkEnd w:id="70"/>
    <w:p>
      <w:pPr>
        <w:jc w:val="both"/>
        <w:spacing w:after="0" w:line="255" w:lineRule="auto"/>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43"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6.5.    </w:t>
      </w:r>
      <w:r>
        <w:rPr>
          <w:rFonts w:ascii="Times New Roman" w:cs="Times New Roman" w:eastAsia="Times New Roman" w:hAnsi="Times New Roman"/>
          <w:sz w:val="14"/>
          <w:szCs w:val="14"/>
          <w:u w:val="single" w:color="auto"/>
          <w:color w:val="auto"/>
        </w:rPr>
        <w:t>  Trustee May Enforce Claims Without Possession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6.6.    </w:t>
      </w:r>
      <w:r>
        <w:rPr>
          <w:rFonts w:ascii="Times New Roman" w:cs="Times New Roman" w:eastAsia="Times New Roman" w:hAnsi="Times New Roman"/>
          <w:sz w:val="14"/>
          <w:szCs w:val="14"/>
          <w:u w:val="single" w:color="auto"/>
          <w:color w:val="auto"/>
        </w:rPr>
        <w:t>  Application of Money Collected.</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6.7.    </w:t>
      </w:r>
      <w:r>
        <w:rPr>
          <w:rFonts w:ascii="Times New Roman" w:cs="Times New Roman" w:eastAsia="Times New Roman" w:hAnsi="Times New Roman"/>
          <w:sz w:val="14"/>
          <w:szCs w:val="14"/>
          <w:u w:val="single" w:color="auto"/>
          <w:color w:val="auto"/>
        </w:rPr>
        <w:t>  Limitation on Suits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such Holder has previously given written notice to the Trustee of a continuing Event of Default with respect to the Securities of that Series;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1" w:name="page72"/>
    <w:bookmarkEnd w:id="71"/>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(b)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6"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(c)            such Holder or Holders have offered and, if requested, provided to the Trustee indemnity or security satisfactory to the Trustee against the costs, expenses and liabilities which might be incurred by the Trustee in compliance with such request;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the Trustee for 60 days after its receipt of such notice, request, offer and provision (if requested) of indemnity has failed to institute any such proceeding; and</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(e)            no direction inconsistent with such written request has been given to the Trustee during such 60-day period by the Holders of a majority in principal amount of the outstanding Securities of that Series;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6.8.    </w:t>
      </w:r>
      <w:r>
        <w:rPr>
          <w:rFonts w:ascii="Times New Roman" w:cs="Times New Roman" w:eastAsia="Times New Roman" w:hAnsi="Times New Roman"/>
          <w:sz w:val="14"/>
          <w:szCs w:val="14"/>
          <w:u w:val="single" w:color="auto"/>
          <w:color w:val="auto"/>
        </w:rPr>
        <w:t>  Unconditional Right of Holders to Receive Principal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6.9.    </w:t>
      </w:r>
      <w:r>
        <w:rPr>
          <w:rFonts w:ascii="Times New Roman" w:cs="Times New Roman" w:eastAsia="Times New Roman" w:hAnsi="Times New Roman"/>
          <w:sz w:val="14"/>
          <w:szCs w:val="14"/>
          <w:u w:val="single" w:color="auto"/>
          <w:color w:val="auto"/>
        </w:rPr>
        <w:t>  Restoration of Rights and Remedies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84"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6.10.    </w:t>
      </w:r>
      <w:r>
        <w:rPr>
          <w:rFonts w:ascii="Times New Roman" w:cs="Times New Roman" w:eastAsia="Times New Roman" w:hAnsi="Times New Roman"/>
          <w:sz w:val="14"/>
          <w:szCs w:val="14"/>
          <w:u w:val="single" w:color="auto"/>
          <w:color w:val="auto"/>
        </w:rPr>
        <w:t>  Rights and Remedies Cumulative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2" w:name="page73"/>
    <w:bookmarkEnd w:id="72"/>
    <w:p>
      <w:pPr>
        <w:ind w:left="500"/>
        <w:spacing w:after="0"/>
        <w:rPr>
          <w:sz w:val="20"/>
          <w:szCs w:val="20"/>
          <w:color w:val="auto"/>
        </w:rPr>
      </w:pPr>
      <w:r>
        <w:rPr>
          <w:rFonts w:ascii="Times New Roman" w:cs="Times New Roman" w:eastAsia="Times New Roman" w:hAnsi="Times New Roman"/>
          <w:sz w:val="14"/>
          <w:szCs w:val="14"/>
          <w:color w:val="auto"/>
        </w:rPr>
        <w:t>Section 6.11.    </w:t>
      </w:r>
      <w:r>
        <w:rPr>
          <w:rFonts w:ascii="Times New Roman" w:cs="Times New Roman" w:eastAsia="Times New Roman" w:hAnsi="Times New Roman"/>
          <w:sz w:val="14"/>
          <w:szCs w:val="14"/>
          <w:u w:val="single" w:color="auto"/>
          <w:color w:val="auto"/>
        </w:rPr>
        <w:t>  Delay or Omission Not Waiver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6.12.    </w:t>
      </w:r>
      <w:r>
        <w:rPr>
          <w:rFonts w:ascii="Times New Roman" w:cs="Times New Roman" w:eastAsia="Times New Roman" w:hAnsi="Times New Roman"/>
          <w:sz w:val="14"/>
          <w:szCs w:val="14"/>
          <w:u w:val="single" w:color="auto"/>
          <w:color w:val="auto"/>
        </w:rPr>
        <w:t>  Control by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such direction shall not be in conflict with any rule of law or with this Indenture,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the Trustee may take any other action deemed proper by the Trustee which is not inconsistent with such direction,</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6"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(d)            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6.13.    </w:t>
      </w:r>
      <w:r>
        <w:rPr>
          <w:rFonts w:ascii="Times New Roman" w:cs="Times New Roman" w:eastAsia="Times New Roman" w:hAnsi="Times New Roman"/>
          <w:sz w:val="14"/>
          <w:szCs w:val="14"/>
          <w:u w:val="single" w:color="auto"/>
          <w:color w:val="auto"/>
        </w:rPr>
        <w:t>  Waiver of Past Defaults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3" w:name="page74"/>
    <w:bookmarkEnd w:id="73"/>
    <w:p>
      <w:pPr>
        <w:ind w:left="500"/>
        <w:spacing w:after="0"/>
        <w:rPr>
          <w:sz w:val="20"/>
          <w:szCs w:val="20"/>
          <w:color w:val="auto"/>
        </w:rPr>
      </w:pPr>
      <w:r>
        <w:rPr>
          <w:rFonts w:ascii="Times New Roman" w:cs="Times New Roman" w:eastAsia="Times New Roman" w:hAnsi="Times New Roman"/>
          <w:sz w:val="14"/>
          <w:szCs w:val="14"/>
          <w:color w:val="auto"/>
        </w:rPr>
        <w:t>Section 6.14.    </w:t>
      </w:r>
      <w:r>
        <w:rPr>
          <w:rFonts w:ascii="Times New Roman" w:cs="Times New Roman" w:eastAsia="Times New Roman" w:hAnsi="Times New Roman"/>
          <w:sz w:val="14"/>
          <w:szCs w:val="14"/>
          <w:u w:val="single" w:color="auto"/>
          <w:color w:val="auto"/>
        </w:rPr>
        <w:t>  Undertaking for Costs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8"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7.1.    </w:t>
      </w:r>
      <w:r>
        <w:rPr>
          <w:rFonts w:ascii="Times New Roman" w:cs="Times New Roman" w:eastAsia="Times New Roman" w:hAnsi="Times New Roman"/>
          <w:sz w:val="14"/>
          <w:szCs w:val="14"/>
          <w:u w:val="single" w:color="auto"/>
          <w:color w:val="auto"/>
        </w:rPr>
        <w:t>  Duties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Except during the continuance of an Event of Default:</w:t>
      </w:r>
    </w:p>
    <w:p>
      <w:pPr>
        <w:spacing w:after="0" w:line="167" w:lineRule="exact"/>
        <w:rPr>
          <w:sz w:val="20"/>
          <w:szCs w:val="20"/>
          <w:color w:val="auto"/>
        </w:rPr>
      </w:pPr>
    </w:p>
    <w:p>
      <w:pPr>
        <w:jc w:val="both"/>
        <w:ind w:left="980" w:firstLine="492"/>
        <w:spacing w:after="0" w:line="266" w:lineRule="auto"/>
        <w:rPr>
          <w:sz w:val="20"/>
          <w:szCs w:val="20"/>
          <w:color w:val="auto"/>
        </w:rPr>
      </w:pPr>
      <w:r>
        <w:rPr>
          <w:rFonts w:ascii="Times New Roman" w:cs="Times New Roman" w:eastAsia="Times New Roman" w:hAnsi="Times New Roman"/>
          <w:sz w:val="14"/>
          <w:szCs w:val="14"/>
          <w:color w:val="auto"/>
        </w:rPr>
        <w:t>(i)            The Trustee need perform only those duties that are specifically set forth in this Indenture and no others, and no implied covenants or obligations will be read into this Indenture against the Trustee.</w:t>
      </w:r>
    </w:p>
    <w:p>
      <w:pPr>
        <w:spacing w:after="0" w:line="136" w:lineRule="exact"/>
        <w:rPr>
          <w:sz w:val="20"/>
          <w:szCs w:val="20"/>
          <w:color w:val="auto"/>
        </w:rPr>
      </w:pPr>
    </w:p>
    <w:p>
      <w:pPr>
        <w:jc w:val="both"/>
        <w:ind w:left="980" w:firstLine="492"/>
        <w:spacing w:after="0" w:line="252" w:lineRule="auto"/>
        <w:rPr>
          <w:sz w:val="20"/>
          <w:szCs w:val="20"/>
          <w:color w:val="auto"/>
        </w:rPr>
      </w:pPr>
      <w:r>
        <w:rPr>
          <w:rFonts w:ascii="Times New Roman" w:cs="Times New Roman" w:eastAsia="Times New Roman" w:hAnsi="Times New Roman"/>
          <w:sz w:val="14"/>
          <w:szCs w:val="14"/>
          <w:color w:val="auto"/>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The Trustee may not be relieved from liability for its own negligent action, its own negligent failure to act or its own willful misconduct, except that:</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            This paragraph does not limit the effect of paragraph (b) of this Section.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4" w:name="page75"/>
    <w:bookmarkEnd w:id="74"/>
    <w:p>
      <w:pPr>
        <w:jc w:val="both"/>
        <w:ind w:left="480" w:firstLine="492"/>
        <w:spacing w:after="0" w:line="266" w:lineRule="auto"/>
        <w:rPr>
          <w:sz w:val="20"/>
          <w:szCs w:val="20"/>
          <w:color w:val="auto"/>
        </w:rPr>
      </w:pPr>
      <w:r>
        <w:rPr>
          <w:rFonts w:ascii="Times New Roman" w:cs="Times New Roman" w:eastAsia="Times New Roman" w:hAnsi="Times New Roman"/>
          <w:sz w:val="14"/>
          <w:szCs w:val="14"/>
          <w:color w:val="auto"/>
        </w:rPr>
        <w:t>(ii)            The Trustee shall not be liable for any error of judgment made in good faith by a Responsible Officer, unless it is proved that the Trustee was negligent in ascertaining the pertinent facts.</w:t>
      </w:r>
    </w:p>
    <w:p>
      <w:pPr>
        <w:spacing w:after="0" w:line="136" w:lineRule="exact"/>
        <w:rPr>
          <w:sz w:val="20"/>
          <w:szCs w:val="20"/>
          <w:color w:val="auto"/>
        </w:rPr>
      </w:pPr>
    </w:p>
    <w:p>
      <w:pPr>
        <w:jc w:val="both"/>
        <w:ind w:left="480" w:firstLine="492"/>
        <w:spacing w:after="0" w:line="252" w:lineRule="auto"/>
        <w:rPr>
          <w:sz w:val="20"/>
          <w:szCs w:val="20"/>
          <w:color w:val="auto"/>
        </w:rPr>
      </w:pPr>
      <w:r>
        <w:rPr>
          <w:rFonts w:ascii="Times New Roman" w:cs="Times New Roman" w:eastAsia="Times New Roman" w:hAnsi="Times New Roman"/>
          <w:sz w:val="14"/>
          <w:szCs w:val="14"/>
          <w:color w:val="auto"/>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            Every provision of this Indenture that in any way relates to the Trustee is subject to paragraph (a), (b) and (c) of this Section.</w:t>
      </w:r>
    </w:p>
    <w:p>
      <w:pPr>
        <w:spacing w:after="0" w:line="16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(e)            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(f)            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(h)            The Paying Agent, the Notice Agent, the Registrar, any authenticating agent and the Trustee when acting in any other capacity hereunder shall be entitled to the protections and immunities as are set forth in this Article VII.</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(i)            The rights, privileges, protections, immunities and benefits given to the Trustee, including its right to be indemnified, are extended to, and will be enforceable by, the Trustee in each of its capacities under this Indenture.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    </w:t>
      </w:r>
      <w:r>
        <w:rPr>
          <w:rFonts w:ascii="Times New Roman" w:cs="Times New Roman" w:eastAsia="Times New Roman" w:hAnsi="Times New Roman"/>
          <w:sz w:val="14"/>
          <w:szCs w:val="14"/>
          <w:u w:val="single" w:color="auto"/>
          <w:color w:val="auto"/>
        </w:rPr>
        <w:t>  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0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10160</wp:posOffset>
            </wp:positionV>
            <wp:extent cx="716534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80"/>
          </w:cols>
          <w:pgMar w:left="800" w:top="722" w:right="319" w:bottom="1440" w:gutter="0" w:footer="0" w:header="0"/>
        </w:sectPr>
      </w:pPr>
    </w:p>
    <w:bookmarkStart w:id="75" w:name="page76"/>
    <w:bookmarkEnd w:id="75"/>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The Trustee shall not be liable for any action it takes or omits to take in good faith which it believes to be authorized or within its rights or powers.</w:t>
      </w:r>
    </w:p>
    <w:p>
      <w:pPr>
        <w:spacing w:after="0" w:line="167"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(e)            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6"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costs, expenses and liabilities which might be incurred by it in compliance with such request or direction.</w:t>
      </w:r>
    </w:p>
    <w:p>
      <w:pPr>
        <w:spacing w:after="0" w:line="143"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3"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43"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(i)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(j)            The permissive right of the Trustee to take the actions permitted by this Indenture shall not be construed as an obligation or duty to do so.</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(k)            The Trustee will not be required to give any bond or surety in respect of the execution of this Indenture or otherwise.</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7.3.    </w:t>
      </w:r>
      <w:r>
        <w:rPr>
          <w:rFonts w:ascii="Times New Roman" w:cs="Times New Roman" w:eastAsia="Times New Roman" w:hAnsi="Times New Roman"/>
          <w:sz w:val="14"/>
          <w:szCs w:val="14"/>
          <w:u w:val="single" w:color="auto"/>
          <w:color w:val="auto"/>
        </w:rPr>
        <w:t>  Individual 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firstLine="985"/>
        <w:spacing w:after="0" w:line="266"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6" w:name="page77"/>
    <w:bookmarkEnd w:id="76"/>
    <w:p>
      <w:pPr>
        <w:ind w:left="500"/>
        <w:spacing w:after="0"/>
        <w:rPr>
          <w:sz w:val="20"/>
          <w:szCs w:val="20"/>
          <w:color w:val="auto"/>
        </w:rPr>
      </w:pPr>
      <w:r>
        <w:rPr>
          <w:rFonts w:ascii="Times New Roman" w:cs="Times New Roman" w:eastAsia="Times New Roman" w:hAnsi="Times New Roman"/>
          <w:sz w:val="14"/>
          <w:szCs w:val="14"/>
          <w:color w:val="auto"/>
        </w:rPr>
        <w:t>Section 7.4.    </w:t>
      </w:r>
      <w:r>
        <w:rPr>
          <w:rFonts w:ascii="Times New Roman" w:cs="Times New Roman" w:eastAsia="Times New Roman" w:hAnsi="Times New Roman"/>
          <w:sz w:val="14"/>
          <w:szCs w:val="14"/>
          <w:u w:val="single" w:color="auto"/>
          <w:color w:val="auto"/>
        </w:rPr>
        <w:t>  Trustee’s Disclaimer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7.5.    </w:t>
      </w:r>
      <w:r>
        <w:rPr>
          <w:rFonts w:ascii="Times New Roman" w:cs="Times New Roman" w:eastAsia="Times New Roman" w:hAnsi="Times New Roman"/>
          <w:sz w:val="14"/>
          <w:szCs w:val="14"/>
          <w:u w:val="single" w:color="auto"/>
          <w:color w:val="auto"/>
        </w:rPr>
        <w:t>  Notice of Defaults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actually known to a Responsible Officer of the Trustee, the Trustee shall send to each Holder of the Securities of that Series notice of a Default or Event of Default within 90 days after it occurs or, if later, after a Responsible Officer of the Trustee has actual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7.6.    </w:t>
      </w:r>
      <w:r>
        <w:rPr>
          <w:rFonts w:ascii="Times New Roman" w:cs="Times New Roman" w:eastAsia="Times New Roman" w:hAnsi="Times New Roman"/>
          <w:sz w:val="14"/>
          <w:szCs w:val="14"/>
          <w:u w:val="single" w:color="auto"/>
          <w:color w:val="auto"/>
        </w:rPr>
        <w:t>  Reports by Trustee to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Within 60 days after each anniversary of this Indenture, the Trustee shall transmit by mail to all Holders, as their names and addresses appear on the register kept by the Registrar, a brief report dated as of such anniversary date, in accordance with, and to the extent required under, TIA § 313.</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A copy of each report at the time of its mailing to Holders of any Series shall be filed with the SEC and each national securities exchange on which the Securities of that Series are listed.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shall promptly notify the Trustee in writing when Securities of any Series are listed on any national securities exchange.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7.7.    </w:t>
      </w:r>
      <w:r>
        <w:rPr>
          <w:rFonts w:ascii="Times New Roman" w:cs="Times New Roman" w:eastAsia="Times New Roman" w:hAnsi="Times New Roman"/>
          <w:sz w:val="14"/>
          <w:szCs w:val="14"/>
          <w:u w:val="single" w:color="auto"/>
          <w:color w:val="auto"/>
        </w:rPr>
        <w:t>  Compensation and Indemnity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3"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7" w:name="page78"/>
    <w:bookmarkEnd w:id="77"/>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36"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 and the resignation or removal of the Trustee.</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7.8.    </w:t>
      </w:r>
      <w:r>
        <w:rPr>
          <w:rFonts w:ascii="Times New Roman" w:cs="Times New Roman" w:eastAsia="Times New Roman" w:hAnsi="Times New Roman"/>
          <w:sz w:val="14"/>
          <w:szCs w:val="14"/>
          <w:u w:val="single" w:color="auto"/>
          <w:color w:val="auto"/>
        </w:rPr>
        <w:t>  Replacement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w:t>
      </w:r>
    </w:p>
    <w:p>
      <w:pPr>
        <w:spacing w:after="0" w:line="156"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the Trustee fails to comply with Section 7.10;</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the Trustee is adjudged a bankrupt or an insolvent or an order for relief is entered with respect to the Trustee under any Bankruptcy Law;</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a Custodian or public officer takes charge of the Trustee or its property; or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the Trustee becomes incapable of acting.</w:t>
      </w:r>
    </w:p>
    <w:p>
      <w:pPr>
        <w:spacing w:after="0" w:line="167" w:lineRule="exact"/>
        <w:rPr>
          <w:sz w:val="20"/>
          <w:szCs w:val="20"/>
          <w:color w:val="auto"/>
        </w:rPr>
      </w:pPr>
    </w:p>
    <w:p>
      <w:pPr>
        <w:jc w:val="both"/>
        <w:ind w:firstLine="985"/>
        <w:spacing w:after="0" w:line="305" w:lineRule="auto"/>
        <w:rPr>
          <w:sz w:val="20"/>
          <w:szCs w:val="20"/>
          <w:color w:val="auto"/>
        </w:rPr>
      </w:pPr>
      <w:r>
        <w:rPr>
          <w:rFonts w:ascii="Times New Roman" w:cs="Times New Roman" w:eastAsia="Times New Roman" w:hAnsi="Times New Roman"/>
          <w:sz w:val="13"/>
          <w:szCs w:val="13"/>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8" w:name="page79"/>
    <w:bookmarkEnd w:id="78"/>
    <w:p>
      <w:pPr>
        <w:jc w:val="both"/>
        <w:ind w:firstLine="985"/>
        <w:spacing w:after="0" w:line="305" w:lineRule="auto"/>
        <w:rPr>
          <w:sz w:val="20"/>
          <w:szCs w:val="20"/>
          <w:color w:val="auto"/>
        </w:rPr>
      </w:pPr>
      <w:r>
        <w:rPr>
          <w:rFonts w:ascii="Times New Roman" w:cs="Times New Roman" w:eastAsia="Times New Roman" w:hAnsi="Times New Roman"/>
          <w:sz w:val="13"/>
          <w:szCs w:val="13"/>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12" w:lineRule="exact"/>
        <w:rPr>
          <w:sz w:val="20"/>
          <w:szCs w:val="20"/>
          <w:color w:val="auto"/>
        </w:rPr>
      </w:pPr>
    </w:p>
    <w:p>
      <w:pPr>
        <w:jc w:val="both"/>
        <w:ind w:firstLine="985"/>
        <w:spacing w:after="0" w:line="274" w:lineRule="auto"/>
        <w:rPr>
          <w:sz w:val="20"/>
          <w:szCs w:val="20"/>
          <w:color w:val="auto"/>
        </w:rPr>
      </w:pPr>
      <w:r>
        <w:rPr>
          <w:rFonts w:ascii="Times New Roman" w:cs="Times New Roman" w:eastAsia="Times New Roman" w:hAnsi="Times New Roman"/>
          <w:sz w:val="13"/>
          <w:szCs w:val="13"/>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7.9.    </w:t>
      </w:r>
      <w:r>
        <w:rPr>
          <w:rFonts w:ascii="Times New Roman" w:cs="Times New Roman" w:eastAsia="Times New Roman" w:hAnsi="Times New Roman"/>
          <w:sz w:val="14"/>
          <w:szCs w:val="14"/>
          <w:u w:val="single" w:color="auto"/>
          <w:color w:val="auto"/>
        </w:rPr>
        <w:t>  Successor Trustee by Merger,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7.10.    </w:t>
      </w:r>
      <w:r>
        <w:rPr>
          <w:rFonts w:ascii="Times New Roman" w:cs="Times New Roman" w:eastAsia="Times New Roman" w:hAnsi="Times New Roman"/>
          <w:sz w:val="14"/>
          <w:szCs w:val="14"/>
          <w:u w:val="single" w:color="auto"/>
          <w:color w:val="auto"/>
        </w:rPr>
        <w:t>  Eligibility; Disqualification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7.11.    </w:t>
      </w:r>
      <w:r>
        <w:rPr>
          <w:rFonts w:ascii="Times New Roman" w:cs="Times New Roman" w:eastAsia="Times New Roman" w:hAnsi="Times New Roman"/>
          <w:sz w:val="14"/>
          <w:szCs w:val="14"/>
          <w:u w:val="single" w:color="auto"/>
          <w:color w:val="auto"/>
        </w:rPr>
        <w:t>  Preferential Collection of Claims Against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Trustee is subject to TIA § 311(a), excluding any creditor relationship listed in TIA § 311(b). A Trustee who has resigned or been removed shall be subject to TIA § 311(a) to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extent indicated.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ARTICLE VIII.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8.1.    </w:t>
      </w:r>
      <w:r>
        <w:rPr>
          <w:rFonts w:ascii="Times New Roman" w:cs="Times New Roman" w:eastAsia="Times New Roman" w:hAnsi="Times New Roman"/>
          <w:sz w:val="14"/>
          <w:szCs w:val="14"/>
          <w:u w:val="single" w:color="auto"/>
          <w:color w:val="auto"/>
        </w:rPr>
        <w:t>  Satisfaction and Discharge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either</w:t>
      </w:r>
    </w:p>
    <w:p>
      <w:pPr>
        <w:spacing w:after="0" w:line="167" w:lineRule="exact"/>
        <w:rPr>
          <w:sz w:val="20"/>
          <w:szCs w:val="20"/>
          <w:color w:val="auto"/>
        </w:rPr>
      </w:pPr>
    </w:p>
    <w:p>
      <w:pPr>
        <w:ind w:left="980" w:firstLine="492"/>
        <w:spacing w:after="0" w:line="266" w:lineRule="auto"/>
        <w:rPr>
          <w:sz w:val="20"/>
          <w:szCs w:val="20"/>
          <w:color w:val="auto"/>
        </w:rPr>
      </w:pPr>
      <w:r>
        <w:rPr>
          <w:rFonts w:ascii="Times New Roman" w:cs="Times New Roman" w:eastAsia="Times New Roman" w:hAnsi="Times New Roman"/>
          <w:sz w:val="14"/>
          <w:szCs w:val="14"/>
          <w:color w:val="auto"/>
        </w:rPr>
        <w:t>(i)            all Securities of such Series theretofore authenticated and delivered (other than Securities that have been destroyed, lost or stolen and that have been replaced or paid) have been delivered to the Trustee for cancellation; or</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(ii)            all such Securities of such Series not theretofore delivered to the Trustee for cancellation:</w:t>
      </w:r>
    </w:p>
    <w:p>
      <w:pPr>
        <w:spacing w:after="0" w:line="1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(1)            have become due and payable by reason of sending a notice of redemption or otherwise,</w:t>
      </w:r>
    </w:p>
    <w:p>
      <w:pPr>
        <w:spacing w:after="0" w:line="1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(2)            will become due and payable at their Stated Maturity within one year,</w:t>
      </w:r>
    </w:p>
    <w:p>
      <w:pPr>
        <w:spacing w:after="0" w:line="167" w:lineRule="exact"/>
        <w:rPr>
          <w:sz w:val="20"/>
          <w:szCs w:val="20"/>
          <w:color w:val="auto"/>
        </w:rPr>
      </w:pPr>
    </w:p>
    <w:p>
      <w:pPr>
        <w:ind w:left="1480" w:firstLine="492"/>
        <w:spacing w:after="0" w:line="266" w:lineRule="auto"/>
        <w:rPr>
          <w:sz w:val="20"/>
          <w:szCs w:val="20"/>
          <w:color w:val="auto"/>
        </w:rPr>
      </w:pPr>
      <w:r>
        <w:rPr>
          <w:rFonts w:ascii="Times New Roman" w:cs="Times New Roman" w:eastAsia="Times New Roman" w:hAnsi="Times New Roman"/>
          <w:sz w:val="14"/>
          <w:szCs w:val="14"/>
          <w:color w:val="auto"/>
        </w:rPr>
        <w:t>(3)            have been called for redemption or are to be called for redemption within one year under arrangements satisfactory to the Trustee for the giving of notice of redemption by the Trustee in the name, and at the expense, of the Company, or</w:t>
      </w:r>
    </w:p>
    <w:p>
      <w:pPr>
        <w:spacing w:after="0" w:line="1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(4)            are deemed paid and discharged pursuant to Section 8.3, as applicable;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the Company has paid or caused to be paid all other sums payable hereunder by the Company; and</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(c)            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0" w:name="page81"/>
    <w:bookmarkEnd w:id="80"/>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8.2.    </w:t>
      </w:r>
      <w:r>
        <w:rPr>
          <w:rFonts w:ascii="Times New Roman" w:cs="Times New Roman" w:eastAsia="Times New Roman" w:hAnsi="Times New Roman"/>
          <w:sz w:val="14"/>
          <w:szCs w:val="14"/>
          <w:u w:val="single" w:color="auto"/>
          <w:color w:val="auto"/>
        </w:rPr>
        <w:t>  Application of Trust Funds; Indemnification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500" w:firstLine="492"/>
        <w:spacing w:after="0" w:line="250" w:lineRule="auto"/>
        <w:rPr>
          <w:sz w:val="20"/>
          <w:szCs w:val="20"/>
          <w:color w:val="auto"/>
        </w:rPr>
      </w:pPr>
      <w:r>
        <w:rPr>
          <w:rFonts w:ascii="Times New Roman" w:cs="Times New Roman" w:eastAsia="Times New Roman" w:hAnsi="Times New Roman"/>
          <w:sz w:val="14"/>
          <w:szCs w:val="14"/>
          <w:color w:val="auto"/>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46"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43" w:lineRule="exact"/>
        <w:rPr>
          <w:sz w:val="20"/>
          <w:szCs w:val="20"/>
          <w:color w:val="auto"/>
        </w:rPr>
      </w:pPr>
    </w:p>
    <w:p>
      <w:pPr>
        <w:jc w:val="both"/>
        <w:ind w:left="500" w:firstLine="492"/>
        <w:spacing w:after="0" w:line="250" w:lineRule="auto"/>
        <w:rPr>
          <w:sz w:val="20"/>
          <w:szCs w:val="20"/>
          <w:color w:val="auto"/>
        </w:rPr>
      </w:pPr>
      <w:r>
        <w:rPr>
          <w:rFonts w:ascii="Times New Roman" w:cs="Times New Roman" w:eastAsia="Times New Roman" w:hAnsi="Times New Roman"/>
          <w:sz w:val="14"/>
          <w:szCs w:val="14"/>
          <w:color w:val="auto"/>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1" w:name="page82"/>
    <w:bookmarkEnd w:id="81"/>
    <w:p>
      <w:pPr>
        <w:ind w:left="500"/>
        <w:spacing w:after="0"/>
        <w:rPr>
          <w:sz w:val="20"/>
          <w:szCs w:val="20"/>
          <w:color w:val="auto"/>
        </w:rPr>
      </w:pPr>
      <w:r>
        <w:rPr>
          <w:rFonts w:ascii="Times New Roman" w:cs="Times New Roman" w:eastAsia="Times New Roman" w:hAnsi="Times New Roman"/>
          <w:sz w:val="14"/>
          <w:szCs w:val="14"/>
          <w:color w:val="auto"/>
        </w:rPr>
        <w:t>Section 8.3.    </w:t>
      </w:r>
      <w:r>
        <w:rPr>
          <w:rFonts w:ascii="Times New Roman" w:cs="Times New Roman" w:eastAsia="Times New Roman" w:hAnsi="Times New Roman"/>
          <w:sz w:val="14"/>
          <w:szCs w:val="14"/>
          <w:u w:val="single" w:color="auto"/>
          <w:color w:val="auto"/>
        </w:rPr>
        <w:t>  Legal Defeasance of Securities of any Series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45"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the provisions of Sections 2.4, 2.5, 2.7, 2.8, 7.7, 8.2, 8.3, 8.5 and 8.6; and</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the rights, powers, trusts and immunities of the Trustee hereunder and the Company’s obligations in connection therewith;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that, the following conditions shall have been satisfied:</w:t>
      </w:r>
    </w:p>
    <w:p>
      <w:pPr>
        <w:spacing w:after="0" w:line="167" w:lineRule="exact"/>
        <w:rPr>
          <w:sz w:val="20"/>
          <w:szCs w:val="20"/>
          <w:color w:val="auto"/>
        </w:rPr>
      </w:pPr>
    </w:p>
    <w:p>
      <w:pPr>
        <w:jc w:val="both"/>
        <w:ind w:left="500" w:firstLine="492"/>
        <w:spacing w:after="0" w:line="248" w:lineRule="auto"/>
        <w:rPr>
          <w:sz w:val="20"/>
          <w:szCs w:val="20"/>
          <w:color w:val="auto"/>
        </w:rPr>
      </w:pPr>
      <w:r>
        <w:rPr>
          <w:rFonts w:ascii="Times New Roman" w:cs="Times New Roman" w:eastAsia="Times New Roman" w:hAnsi="Times New Roman"/>
          <w:sz w:val="14"/>
          <w:szCs w:val="14"/>
          <w:color w:val="auto"/>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49"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(e)            such deposit will not result in a breach or violation of, or constitute a default under, this Indenture or any other agreement or instrument to which the Company is a party or by which it is bound;</w:t>
      </w:r>
    </w:p>
    <w:p>
      <w:pPr>
        <w:spacing w:after="0" w:line="136"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(f)            no Default or Event of Default with respect to the Securities of such Series shall have occurred and be continuing on the date of such deposit or during the period ending on the 91st day after such date;</w:t>
      </w:r>
    </w:p>
    <w:p>
      <w:pPr>
        <w:spacing w:after="0" w:line="136" w:lineRule="exact"/>
        <w:rPr>
          <w:sz w:val="20"/>
          <w:szCs w:val="20"/>
          <w:color w:val="auto"/>
        </w:rPr>
      </w:pPr>
    </w:p>
    <w:p>
      <w:pPr>
        <w:jc w:val="both"/>
        <w:ind w:left="500" w:firstLine="492"/>
        <w:spacing w:after="0" w:line="250" w:lineRule="auto"/>
        <w:rPr>
          <w:sz w:val="20"/>
          <w:szCs w:val="20"/>
          <w:color w:val="auto"/>
        </w:rPr>
      </w:pPr>
      <w:r>
        <w:rPr>
          <w:rFonts w:ascii="Times New Roman" w:cs="Times New Roman" w:eastAsia="Times New Roman" w:hAnsi="Times New Roman"/>
          <w:sz w:val="14"/>
          <w:szCs w:val="14"/>
          <w:color w:val="auto"/>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2" w:name="page83"/>
    <w:bookmarkEnd w:id="82"/>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(h)            the Company shall have delivered to the Trustee an Officer’s Certificate stating that the deposit was not made by the Company with the intent of defeating, hindering, delaying or defrauding any other creditors of the Company; and</w:t>
      </w:r>
    </w:p>
    <w:p>
      <w:pPr>
        <w:spacing w:after="0" w:line="136"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(i)            the Company shall have delivered to the Trustee an Officer’s Certificate and an Opinion of Counsel, each stating that all conditions precedent provided for relating to the defeasance contemplated by this Section have been complied with.</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8.4.    </w:t>
      </w:r>
      <w:r>
        <w:rPr>
          <w:rFonts w:ascii="Times New Roman" w:cs="Times New Roman" w:eastAsia="Times New Roman" w:hAnsi="Times New Roman"/>
          <w:sz w:val="14"/>
          <w:szCs w:val="14"/>
          <w:u w:val="single" w:color="auto"/>
          <w:color w:val="auto"/>
        </w:rPr>
        <w:t>  Covenant Defeasance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47" w:lineRule="exact"/>
        <w:rPr>
          <w:sz w:val="20"/>
          <w:szCs w:val="20"/>
          <w:color w:val="auto"/>
        </w:rPr>
      </w:pPr>
    </w:p>
    <w:p>
      <w:pPr>
        <w:jc w:val="both"/>
        <w:ind w:left="500" w:firstLine="492"/>
        <w:spacing w:after="0" w:line="270" w:lineRule="auto"/>
        <w:rPr>
          <w:sz w:val="20"/>
          <w:szCs w:val="20"/>
          <w:color w:val="auto"/>
        </w:rPr>
      </w:pPr>
      <w:r>
        <w:rPr>
          <w:rFonts w:ascii="Times New Roman" w:cs="Times New Roman" w:eastAsia="Times New Roman" w:hAnsi="Times New Roman"/>
          <w:sz w:val="13"/>
          <w:szCs w:val="13"/>
          <w:color w:val="auto"/>
        </w:rPr>
        <w:t>(a)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36"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(b)            such deposit will not result in a breach or violation of, or constitute a default under, this Indenture or any other agreement or instrument to which the Company is a party or by which it is bound;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3" w:name="page84"/>
    <w:bookmarkEnd w:id="83"/>
    <w:p>
      <w:pPr>
        <w:ind w:left="980"/>
        <w:spacing w:after="0"/>
        <w:rPr>
          <w:sz w:val="20"/>
          <w:szCs w:val="20"/>
          <w:color w:val="auto"/>
        </w:rPr>
      </w:pPr>
      <w:r>
        <w:rPr>
          <w:rFonts w:ascii="Times New Roman" w:cs="Times New Roman" w:eastAsia="Times New Roman" w:hAnsi="Times New Roman"/>
          <w:sz w:val="14"/>
          <w:szCs w:val="14"/>
          <w:color w:val="auto"/>
        </w:rPr>
        <w:t>(c)            no Default or Event of Default with respect to the Securities of such Series shall have occurred and be continuing on the date of such deposit;</w:t>
      </w:r>
    </w:p>
    <w:p>
      <w:pPr>
        <w:spacing w:after="0" w:line="167" w:lineRule="exact"/>
        <w:rPr>
          <w:sz w:val="20"/>
          <w:szCs w:val="20"/>
          <w:color w:val="auto"/>
        </w:rPr>
      </w:pPr>
    </w:p>
    <w:p>
      <w:pPr>
        <w:jc w:val="both"/>
        <w:ind w:left="500" w:firstLine="492"/>
        <w:spacing w:after="0" w:line="255" w:lineRule="auto"/>
        <w:rPr>
          <w:sz w:val="20"/>
          <w:szCs w:val="20"/>
          <w:color w:val="auto"/>
        </w:rPr>
      </w:pPr>
      <w:r>
        <w:rPr>
          <w:rFonts w:ascii="Times New Roman" w:cs="Times New Roman" w:eastAsia="Times New Roman" w:hAnsi="Times New Roman"/>
          <w:sz w:val="14"/>
          <w:szCs w:val="14"/>
          <w:color w:val="auto"/>
        </w:rPr>
        <w:t>(d)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43"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(e)            The Company shall have delivered to the Trustee an Officer’s Certificate stating the deposit was not made by the Company with the intent of defeating, hindering, delaying or defrauding any other creditors of the Company; and</w:t>
      </w:r>
    </w:p>
    <w:p>
      <w:pPr>
        <w:spacing w:after="0" w:line="136" w:lineRule="exact"/>
        <w:rPr>
          <w:sz w:val="20"/>
          <w:szCs w:val="20"/>
          <w:color w:val="auto"/>
        </w:rPr>
      </w:pPr>
    </w:p>
    <w:p>
      <w:pPr>
        <w:jc w:val="both"/>
        <w:ind w:left="500" w:firstLine="492"/>
        <w:spacing w:after="0" w:line="266" w:lineRule="auto"/>
        <w:rPr>
          <w:sz w:val="20"/>
          <w:szCs w:val="20"/>
          <w:color w:val="auto"/>
        </w:rPr>
      </w:pPr>
      <w:r>
        <w:rPr>
          <w:rFonts w:ascii="Times New Roman" w:cs="Times New Roman" w:eastAsia="Times New Roman" w:hAnsi="Times New Roman"/>
          <w:sz w:val="14"/>
          <w:szCs w:val="14"/>
          <w:color w:val="auto"/>
        </w:rPr>
        <w:t>(f)            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8.5.    </w:t>
      </w:r>
      <w:r>
        <w:rPr>
          <w:rFonts w:ascii="Times New Roman" w:cs="Times New Roman" w:eastAsia="Times New Roman" w:hAnsi="Times New Roman"/>
          <w:sz w:val="14"/>
          <w:szCs w:val="14"/>
          <w:u w:val="single" w:color="auto"/>
          <w:color w:val="auto"/>
        </w:rPr>
        <w:t>  Repayment to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8.6.    </w:t>
      </w:r>
      <w:r>
        <w:rPr>
          <w:rFonts w:ascii="Times New Roman" w:cs="Times New Roman" w:eastAsia="Times New Roman" w:hAnsi="Times New Roman"/>
          <w:sz w:val="14"/>
          <w:szCs w:val="14"/>
          <w:u w:val="single" w:color="auto"/>
          <w:color w:val="auto"/>
        </w:rPr>
        <w:t>  Reinstatement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9.1.    </w:t>
      </w:r>
      <w:r>
        <w:rPr>
          <w:rFonts w:ascii="Times New Roman" w:cs="Times New Roman" w:eastAsia="Times New Roman" w:hAnsi="Times New Roman"/>
          <w:sz w:val="14"/>
          <w:szCs w:val="14"/>
          <w:u w:val="single" w:color="auto"/>
          <w:color w:val="auto"/>
        </w:rPr>
        <w:t>  Without Consent of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one or more Series without the consent of any Holder: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to cure any ambiguity, defect or inconsistency;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4" w:name="page85"/>
    <w:bookmarkEnd w:id="84"/>
    <w:p>
      <w:pPr>
        <w:ind w:left="980"/>
        <w:spacing w:after="0"/>
        <w:rPr>
          <w:sz w:val="20"/>
          <w:szCs w:val="20"/>
          <w:color w:val="auto"/>
        </w:rPr>
      </w:pPr>
      <w:r>
        <w:rPr>
          <w:rFonts w:ascii="Times New Roman" w:cs="Times New Roman" w:eastAsia="Times New Roman" w:hAnsi="Times New Roman"/>
          <w:sz w:val="14"/>
          <w:szCs w:val="14"/>
          <w:color w:val="auto"/>
        </w:rPr>
        <w:t>(b)            to comply with Article V;</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to provide for uncertificated Securities in addition to or in place of certificated Securities;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to add guarantees with respect to Securities of any Series or secure Securities of any Series;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            to surrender any of the Company’s rights or powers under this Indenture;</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            to add covenants or events of default for the benefit of the holders of Securities of any Series;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            to comply with the applicable procedures of the applicable depositary;</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(h)            to make any change that does not adversely affect the rights of any Holder;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            to provide for the issuance of and establish the form and terms and conditions of Securities of any Series as permitted by this Indenture;</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(k)            to comply with requirements of the SEC in order to effect or maintain the qualification of this Indenture under the TIA.</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9.2.    </w:t>
      </w:r>
      <w:r>
        <w:rPr>
          <w:rFonts w:ascii="Times New Roman" w:cs="Times New Roman" w:eastAsia="Times New Roman" w:hAnsi="Times New Roman"/>
          <w:sz w:val="14"/>
          <w:szCs w:val="14"/>
          <w:u w:val="single" w:color="auto"/>
          <w:color w:val="auto"/>
        </w:rPr>
        <w:t>  With Consent of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4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5" w:name="page86"/>
    <w:bookmarkEnd w:id="85"/>
    <w:p>
      <w:pPr>
        <w:ind w:left="500"/>
        <w:spacing w:after="0"/>
        <w:rPr>
          <w:sz w:val="20"/>
          <w:szCs w:val="20"/>
          <w:color w:val="auto"/>
        </w:rPr>
      </w:pPr>
      <w:r>
        <w:rPr>
          <w:rFonts w:ascii="Times New Roman" w:cs="Times New Roman" w:eastAsia="Times New Roman" w:hAnsi="Times New Roman"/>
          <w:sz w:val="14"/>
          <w:szCs w:val="14"/>
          <w:color w:val="auto"/>
        </w:rPr>
        <w:t>Section 9.3.    </w:t>
      </w:r>
      <w:r>
        <w:rPr>
          <w:rFonts w:ascii="Times New Roman" w:cs="Times New Roman" w:eastAsia="Times New Roman" w:hAnsi="Times New Roman"/>
          <w:sz w:val="14"/>
          <w:szCs w:val="14"/>
          <w:u w:val="single" w:color="auto"/>
          <w:color w:val="auto"/>
        </w:rPr>
        <w:t>  Limitations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Without the consent of each Holder affected, an amendment or waiver may not: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reduce the principal amount of Securities whose Holders must consent to an amendment, supplement or waiver;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reduce the rate of or extend the time for payment of interest (including default interest) on any Security;</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(c)            reduce the principal or change the Stated Maturity of any Security or reduce the amount of, or postpone the date fixed for, the payment of any sinking fund or analogous obligation;</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reduce the principal amount of Discount Securities payable upon acceleration of the maturity thereof;</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            make the principal of or interest, if any, on any Security payable in any currency other than that stated in the Security;</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            make any change in Sections 6.8, 6.13 or 9.3 (this sentence); or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(h)            waive a redemption payment with respect to any Security, provided that such redemption is made at the Company’s option.</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9.4.    </w:t>
      </w:r>
      <w:r>
        <w:rPr>
          <w:rFonts w:ascii="Times New Roman" w:cs="Times New Roman" w:eastAsia="Times New Roman" w:hAnsi="Times New Roman"/>
          <w:sz w:val="14"/>
          <w:szCs w:val="14"/>
          <w:u w:val="single" w:color="auto"/>
          <w:color w:val="auto"/>
        </w:rPr>
        <w:t>  Compliance with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 hereto that complies with the TIA as then in effect.</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9.5.    </w:t>
      </w:r>
      <w:r>
        <w:rPr>
          <w:rFonts w:ascii="Times New Roman" w:cs="Times New Roman" w:eastAsia="Times New Roman" w:hAnsi="Times New Roman"/>
          <w:sz w:val="14"/>
          <w:szCs w:val="14"/>
          <w:u w:val="single" w:color="auto"/>
          <w:color w:val="auto"/>
        </w:rPr>
        <w:t>  Revocation and Effect of Consents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6" w:name="page87"/>
    <w:bookmarkEnd w:id="86"/>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3"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9.6.    </w:t>
      </w:r>
      <w:r>
        <w:rPr>
          <w:rFonts w:ascii="Times New Roman" w:cs="Times New Roman" w:eastAsia="Times New Roman" w:hAnsi="Times New Roman"/>
          <w:sz w:val="14"/>
          <w:szCs w:val="14"/>
          <w:u w:val="single" w:color="auto"/>
          <w:color w:val="auto"/>
        </w:rPr>
        <w:t>  Notation on or Exchange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9.7.    </w:t>
      </w:r>
      <w:r>
        <w:rPr>
          <w:rFonts w:ascii="Times New Roman" w:cs="Times New Roman" w:eastAsia="Times New Roman" w:hAnsi="Times New Roman"/>
          <w:sz w:val="14"/>
          <w:szCs w:val="14"/>
          <w:u w:val="single" w:color="auto"/>
          <w:color w:val="auto"/>
        </w:rPr>
        <w:t>  Trustee Protected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    </w:t>
      </w:r>
      <w:r>
        <w:rPr>
          <w:rFonts w:ascii="Times New Roman" w:cs="Times New Roman" w:eastAsia="Times New Roman" w:hAnsi="Times New Roman"/>
          <w:sz w:val="14"/>
          <w:szCs w:val="14"/>
          <w:u w:val="single" w:color="auto"/>
          <w:color w:val="auto"/>
        </w:rPr>
        <w:t>  Trust Indenture Act Controls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7" w:name="page88"/>
    <w:bookmarkEnd w:id="87"/>
    <w:p>
      <w:pPr>
        <w:ind w:left="500"/>
        <w:spacing w:after="0"/>
        <w:rPr>
          <w:sz w:val="20"/>
          <w:szCs w:val="20"/>
          <w:color w:val="auto"/>
        </w:rPr>
      </w:pPr>
      <w:r>
        <w:rPr>
          <w:rFonts w:ascii="Times New Roman" w:cs="Times New Roman" w:eastAsia="Times New Roman" w:hAnsi="Times New Roman"/>
          <w:sz w:val="14"/>
          <w:szCs w:val="14"/>
          <w:color w:val="auto"/>
        </w:rPr>
        <w:t>Section 10.2.    </w:t>
      </w:r>
      <w:r>
        <w:rPr>
          <w:rFonts w:ascii="Times New Roman" w:cs="Times New Roman" w:eastAsia="Times New Roman" w:hAnsi="Times New Roman"/>
          <w:sz w:val="14"/>
          <w:szCs w:val="14"/>
          <w:u w:val="single" w:color="auto"/>
          <w:color w:val="auto"/>
        </w:rPr>
        <w:t>  Notices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Jefferson Capital, Inc.</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600 South Highway 169, Suite 1575</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Minneapolis, Minnesota 55426</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Telephone: (320) 229-8505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copy to:</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1271 Avenue of the Americas</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Attention: Marc D. Jaffe, Erika Weinberg and Sandy Kugbei</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Telephone: (212) 906-1200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West Side Flats St Paul</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Mail Stop: EP-MN-S3MC</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60 Livingston Ave.</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Saint Paul, MN 55107</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Attention: Jefferson Capital Notes Administrator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copy to:</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Seward &amp; Kissel LLP</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One Battery Park Plaza</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New York, NY 10004</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Attention: Ronald A. Hewitt</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Email: hewitt@sewkis.com</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14"/>
          <w:szCs w:val="14"/>
          <w:color w:val="auto"/>
        </w:rPr>
        <w:t>If a notice or communication is sent or published in the manner provided above, within the time prescribed, it is duly given, whether or not the Holder receives it.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the Company sends a notice or communication to Holders, it shall send a copy to the Trustee and each Agent at the same time.</w:t>
      </w:r>
    </w:p>
    <w:p>
      <w:pPr>
        <w:spacing w:after="0" w:line="167"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46"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10.3.    </w:t>
      </w:r>
      <w:r>
        <w:rPr>
          <w:rFonts w:ascii="Times New Roman" w:cs="Times New Roman" w:eastAsia="Times New Roman" w:hAnsi="Times New Roman"/>
          <w:sz w:val="14"/>
          <w:szCs w:val="14"/>
          <w:u w:val="single" w:color="auto"/>
          <w:color w:val="auto"/>
        </w:rPr>
        <w:t>  Communication by Holders with Other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10.4.    </w:t>
      </w:r>
      <w:r>
        <w:rPr>
          <w:rFonts w:ascii="Times New Roman" w:cs="Times New Roman" w:eastAsia="Times New Roman" w:hAnsi="Times New Roman"/>
          <w:sz w:val="14"/>
          <w:szCs w:val="14"/>
          <w:u w:val="single" w:color="auto"/>
          <w:color w:val="auto"/>
        </w:rPr>
        <w:t>  Certificate and Opinion as to Conditions Precedent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(a)            an Officer’s Certificate stating that, in the opinion of the signers, all conditions precedent, if any, provided for in this Indenture relating to the proposed action have been complied with;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            an Opinion of Counsel stating that, in the opinion of such counsel, all such conditions precedent have been complied with.</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10.5.    </w:t>
      </w:r>
      <w:r>
        <w:rPr>
          <w:rFonts w:ascii="Times New Roman" w:cs="Times New Roman" w:eastAsia="Times New Roman" w:hAnsi="Times New Roman"/>
          <w:sz w:val="14"/>
          <w:szCs w:val="14"/>
          <w:u w:val="single" w:color="auto"/>
          <w:color w:val="auto"/>
        </w:rPr>
        <w:t>  Statements Required in Certificate or Opinion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firstLine="985"/>
        <w:spacing w:after="0" w:line="266"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a statement that the person making such certificate or opinion has read such covenant or condition;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9" w:name="page90"/>
    <w:bookmarkEnd w:id="89"/>
    <w:p>
      <w:pPr>
        <w:ind w:left="980"/>
        <w:spacing w:after="0"/>
        <w:rPr>
          <w:sz w:val="20"/>
          <w:szCs w:val="20"/>
          <w:color w:val="auto"/>
        </w:rPr>
      </w:pPr>
      <w:r>
        <w:rPr>
          <w:rFonts w:ascii="Times New Roman" w:cs="Times New Roman" w:eastAsia="Times New Roman" w:hAnsi="Times New Roman"/>
          <w:sz w:val="14"/>
          <w:szCs w:val="14"/>
          <w:color w:val="auto"/>
        </w:rPr>
        <w:t>(b)            a brief statement as to the nature and scope of the examination or investigation upon which the statements or opinions contained in such certificate or opinion are based;</w:t>
      </w:r>
    </w:p>
    <w:p>
      <w:pPr>
        <w:spacing w:after="0" w:line="167" w:lineRule="exact"/>
        <w:rPr>
          <w:sz w:val="20"/>
          <w:szCs w:val="20"/>
          <w:color w:val="auto"/>
        </w:rPr>
      </w:pPr>
    </w:p>
    <w:p>
      <w:pPr>
        <w:ind w:left="500" w:firstLine="492"/>
        <w:spacing w:after="0" w:line="266" w:lineRule="auto"/>
        <w:rPr>
          <w:sz w:val="20"/>
          <w:szCs w:val="20"/>
          <w:color w:val="auto"/>
        </w:rPr>
      </w:pPr>
      <w:r>
        <w:rPr>
          <w:rFonts w:ascii="Times New Roman" w:cs="Times New Roman" w:eastAsia="Times New Roman" w:hAnsi="Times New Roman"/>
          <w:sz w:val="14"/>
          <w:szCs w:val="14"/>
          <w:color w:val="auto"/>
        </w:rPr>
        <w:t>(c)            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a statement as to whether or not, in the opinion of such person, such condition or covenant has been complied with.</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10.6.    </w:t>
      </w:r>
      <w:r>
        <w:rPr>
          <w:rFonts w:ascii="Times New Roman" w:cs="Times New Roman" w:eastAsia="Times New Roman" w:hAnsi="Times New Roman"/>
          <w:sz w:val="14"/>
          <w:szCs w:val="14"/>
          <w:u w:val="single" w:color="auto"/>
          <w:color w:val="auto"/>
        </w:rPr>
        <w:t>  Rules by Trustee and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 meeting of Holders of one or more Series. Any Agent may make reasonable rules and set reasonable requirements for 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functions.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10.7.    </w:t>
      </w:r>
      <w:r>
        <w:rPr>
          <w:rFonts w:ascii="Times New Roman" w:cs="Times New Roman" w:eastAsia="Times New Roman" w:hAnsi="Times New Roman"/>
          <w:sz w:val="14"/>
          <w:szCs w:val="14"/>
          <w:u w:val="single" w:color="auto"/>
          <w:color w:val="auto"/>
        </w:rPr>
        <w:t>  Legal Holidays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If a payment date for any payment made under this Indenture is not a Business Day, payment may be made on the next succeeding Business Day, and no interest shall accrue for the intervening period.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10.8.    </w:t>
      </w:r>
      <w:r>
        <w:rPr>
          <w:rFonts w:ascii="Times New Roman" w:cs="Times New Roman" w:eastAsia="Times New Roman" w:hAnsi="Times New Roman"/>
          <w:sz w:val="14"/>
          <w:szCs w:val="14"/>
          <w:u w:val="single" w:color="auto"/>
          <w:color w:val="auto"/>
        </w:rPr>
        <w:t>  No Recourse Against Others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10.9.    </w:t>
      </w:r>
      <w:r>
        <w:rPr>
          <w:rFonts w:ascii="Times New Roman" w:cs="Times New Roman" w:eastAsia="Times New Roman" w:hAnsi="Times New Roman"/>
          <w:sz w:val="14"/>
          <w:szCs w:val="14"/>
          <w:u w:val="single" w:color="auto"/>
          <w:color w:val="auto"/>
        </w:rPr>
        <w:t>  Counterparts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45" w:lineRule="exact"/>
        <w:rPr>
          <w:sz w:val="20"/>
          <w:szCs w:val="20"/>
          <w:color w:val="auto"/>
        </w:rPr>
      </w:pPr>
    </w:p>
    <w:p>
      <w:pPr>
        <w:jc w:val="both"/>
        <w:ind w:firstLine="985"/>
        <w:spacing w:after="0" w:line="250" w:lineRule="auto"/>
        <w:rPr>
          <w:sz w:val="20"/>
          <w:szCs w:val="20"/>
          <w:color w:val="auto"/>
        </w:rPr>
      </w:pPr>
      <w:r>
        <w:rPr>
          <w:rFonts w:ascii="Times New Roman" w:cs="Times New Roman" w:eastAsia="Times New Roman" w:hAnsi="Times New Roman"/>
          <w:sz w:val="14"/>
          <w:szCs w:val="14"/>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0" w:name="page91"/>
    <w:bookmarkEnd w:id="90"/>
    <w:p>
      <w:pPr>
        <w:ind w:left="500"/>
        <w:spacing w:after="0"/>
        <w:rPr>
          <w:sz w:val="20"/>
          <w:szCs w:val="20"/>
          <w:color w:val="auto"/>
        </w:rPr>
      </w:pPr>
      <w:r>
        <w:rPr>
          <w:rFonts w:ascii="Times New Roman" w:cs="Times New Roman" w:eastAsia="Times New Roman" w:hAnsi="Times New Roman"/>
          <w:sz w:val="14"/>
          <w:szCs w:val="14"/>
          <w:color w:val="auto"/>
        </w:rPr>
        <w:t>Section 10.10.    </w:t>
      </w:r>
      <w:r>
        <w:rPr>
          <w:rFonts w:ascii="Times New Roman" w:cs="Times New Roman" w:eastAsia="Times New Roman" w:hAnsi="Times New Roman"/>
          <w:sz w:val="14"/>
          <w:szCs w:val="14"/>
          <w:u w:val="single" w:color="auto"/>
          <w:color w:val="auto"/>
        </w:rPr>
        <w:t>  Governing Law; Waiver of Jury Trial; Consent to Jurisdiction</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firstLine="985"/>
        <w:spacing w:after="0" w:line="272" w:lineRule="auto"/>
        <w:rPr>
          <w:sz w:val="20"/>
          <w:szCs w:val="20"/>
          <w:color w:val="auto"/>
        </w:rPr>
      </w:pPr>
      <w:r>
        <w:rPr>
          <w:rFonts w:ascii="Times New Roman" w:cs="Times New Roman" w:eastAsia="Times New Roman" w:hAnsi="Times New Roman"/>
          <w:sz w:val="14"/>
          <w:szCs w:val="14"/>
          <w:b w:val="1"/>
          <w:bCs w:val="1"/>
          <w:color w:val="auto"/>
        </w:rPr>
        <w:t>THIS INDENTURE AND THE SECURITIES, INCLUDING ANY CLAIM OR CONTROVERSY ARISING OUT OF OR RELATING TO THE INDENTURE OR THE SECURITIES, SHALL BE GOVERNED BY THE LAWS OF THE STATE OF NEW YORK.</w:t>
      </w:r>
    </w:p>
    <w:p>
      <w:pPr>
        <w:spacing w:after="0" w:line="127" w:lineRule="exact"/>
        <w:rPr>
          <w:sz w:val="20"/>
          <w:szCs w:val="20"/>
          <w:color w:val="auto"/>
        </w:rPr>
      </w:pPr>
    </w:p>
    <w:p>
      <w:pPr>
        <w:jc w:val="both"/>
        <w:ind w:firstLine="985"/>
        <w:spacing w:after="0" w:line="258" w:lineRule="auto"/>
        <w:rPr>
          <w:sz w:val="20"/>
          <w:szCs w:val="20"/>
          <w:color w:val="auto"/>
        </w:rPr>
      </w:pPr>
      <w:r>
        <w:rPr>
          <w:rFonts w:ascii="Times New Roman" w:cs="Times New Roman" w:eastAsia="Times New Roman" w:hAnsi="Times New Roman"/>
          <w:sz w:val="14"/>
          <w:szCs w:val="14"/>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41" w:lineRule="exact"/>
        <w:rPr>
          <w:sz w:val="20"/>
          <w:szCs w:val="20"/>
          <w:color w:val="auto"/>
        </w:rPr>
      </w:pPr>
    </w:p>
    <w:p>
      <w:pPr>
        <w:jc w:val="both"/>
        <w:ind w:firstLine="985"/>
        <w:spacing w:after="0" w:line="249" w:lineRule="auto"/>
        <w:rPr>
          <w:sz w:val="20"/>
          <w:szCs w:val="20"/>
          <w:color w:val="auto"/>
        </w:rPr>
      </w:pPr>
      <w:r>
        <w:rPr>
          <w:rFonts w:ascii="Times New Roman" w:cs="Times New Roman" w:eastAsia="Times New Roman" w:hAnsi="Times New Roman"/>
          <w:sz w:val="14"/>
          <w:szCs w:val="14"/>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10.11.    </w:t>
      </w:r>
      <w:r>
        <w:rPr>
          <w:rFonts w:ascii="Times New Roman" w:cs="Times New Roman" w:eastAsia="Times New Roman" w:hAnsi="Times New Roman"/>
          <w:sz w:val="14"/>
          <w:szCs w:val="14"/>
          <w:u w:val="single" w:color="auto"/>
          <w:color w:val="auto"/>
        </w:rPr>
        <w:t>  No Adverse Interpretation of Other Agreements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10.12.    </w:t>
      </w:r>
      <w:r>
        <w:rPr>
          <w:rFonts w:ascii="Times New Roman" w:cs="Times New Roman" w:eastAsia="Times New Roman" w:hAnsi="Times New Roman"/>
          <w:sz w:val="14"/>
          <w:szCs w:val="14"/>
          <w:u w:val="single" w:color="auto"/>
          <w:color w:val="auto"/>
        </w:rPr>
        <w:t>  Successors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14"/>
          <w:szCs w:val="14"/>
          <w:color w:val="auto"/>
        </w:rPr>
        <w:t>Section 10.13.    </w:t>
      </w:r>
      <w:r>
        <w:rPr>
          <w:rFonts w:ascii="Times New Roman" w:cs="Times New Roman" w:eastAsia="Times New Roman" w:hAnsi="Times New Roman"/>
          <w:sz w:val="14"/>
          <w:szCs w:val="14"/>
          <w:u w:val="single" w:color="auto"/>
          <w:color w:val="auto"/>
        </w:rPr>
        <w:t>  Severability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10.14.    </w:t>
      </w:r>
      <w:r>
        <w:rPr>
          <w:rFonts w:ascii="Times New Roman" w:cs="Times New Roman" w:eastAsia="Times New Roman" w:hAnsi="Times New Roman"/>
          <w:sz w:val="14"/>
          <w:szCs w:val="14"/>
          <w:u w:val="single" w:color="auto"/>
          <w:color w:val="auto"/>
        </w:rPr>
        <w:t>  Table of Contents, Headings,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10.15.    </w:t>
      </w:r>
      <w:r>
        <w:rPr>
          <w:rFonts w:ascii="Times New Roman" w:cs="Times New Roman" w:eastAsia="Times New Roman" w:hAnsi="Times New Roman"/>
          <w:sz w:val="14"/>
          <w:szCs w:val="14"/>
          <w:u w:val="single" w:color="auto"/>
          <w:color w:val="auto"/>
        </w:rPr>
        <w:t>  Securities in a Foreign Currency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7"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made by the Company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50"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10.16.    </w:t>
      </w:r>
      <w:r>
        <w:rPr>
          <w:rFonts w:ascii="Times New Roman" w:cs="Times New Roman" w:eastAsia="Times New Roman" w:hAnsi="Times New Roman"/>
          <w:sz w:val="14"/>
          <w:szCs w:val="14"/>
          <w:u w:val="single" w:color="auto"/>
          <w:color w:val="auto"/>
        </w:rPr>
        <w:t>  Judgment Currency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6"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day except a Saturday, Sunday or a legal holiday in the City of New York on which banking institutions are authorized or required by law, regulation or executive order to close.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2" w:name="page93"/>
    <w:bookmarkEnd w:id="92"/>
    <w:p>
      <w:pPr>
        <w:ind w:left="500"/>
        <w:spacing w:after="0"/>
        <w:rPr>
          <w:sz w:val="20"/>
          <w:szCs w:val="20"/>
          <w:color w:val="auto"/>
        </w:rPr>
      </w:pPr>
      <w:r>
        <w:rPr>
          <w:rFonts w:ascii="Times New Roman" w:cs="Times New Roman" w:eastAsia="Times New Roman" w:hAnsi="Times New Roman"/>
          <w:sz w:val="14"/>
          <w:szCs w:val="14"/>
          <w:color w:val="auto"/>
        </w:rPr>
        <w:t>Section 10.17.    </w:t>
      </w:r>
      <w:r>
        <w:rPr>
          <w:rFonts w:ascii="Times New Roman" w:cs="Times New Roman" w:eastAsia="Times New Roman" w:hAnsi="Times New Roman"/>
          <w:sz w:val="14"/>
          <w:szCs w:val="14"/>
          <w:u w:val="single" w:color="auto"/>
          <w:color w:val="auto"/>
        </w:rPr>
        <w:t>  Force Majeure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2"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10.18.    </w:t>
      </w:r>
      <w:r>
        <w:rPr>
          <w:rFonts w:ascii="Times New Roman" w:cs="Times New Roman" w:eastAsia="Times New Roman" w:hAnsi="Times New Roman"/>
          <w:sz w:val="14"/>
          <w:szCs w:val="14"/>
          <w:u w:val="single" w:color="auto"/>
          <w:color w:val="auto"/>
        </w:rPr>
        <w:t>  U.S.A. Patriot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55"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SINKING FUNDS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11.1.    </w:t>
      </w:r>
      <w:r>
        <w:rPr>
          <w:rFonts w:ascii="Times New Roman" w:cs="Times New Roman" w:eastAsia="Times New Roman" w:hAnsi="Times New Roman"/>
          <w:sz w:val="14"/>
          <w:szCs w:val="14"/>
          <w:u w:val="single" w:color="auto"/>
          <w:color w:val="auto"/>
        </w:rPr>
        <w:t>  Applicability of Article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66"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32" w:lineRule="exact"/>
        <w:rPr>
          <w:sz w:val="20"/>
          <w:szCs w:val="20"/>
          <w:color w:val="auto"/>
        </w:rPr>
      </w:pPr>
    </w:p>
    <w:p>
      <w:pPr>
        <w:jc w:val="both"/>
        <w:ind w:firstLine="985"/>
        <w:spacing w:after="0" w:line="254"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 and any other amount provided for by the terms of Securities of such Series is herein referred to as an “</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3" w:name="page94"/>
    <w:bookmarkEnd w:id="93"/>
    <w:p>
      <w:pPr>
        <w:ind w:left="500"/>
        <w:spacing w:after="0"/>
        <w:rPr>
          <w:sz w:val="20"/>
          <w:szCs w:val="20"/>
          <w:color w:val="auto"/>
        </w:rPr>
      </w:pPr>
      <w:r>
        <w:rPr>
          <w:rFonts w:ascii="Times New Roman" w:cs="Times New Roman" w:eastAsia="Times New Roman" w:hAnsi="Times New Roman"/>
          <w:sz w:val="14"/>
          <w:szCs w:val="14"/>
          <w:color w:val="auto"/>
        </w:rPr>
        <w:t>Section 11.2.    </w:t>
      </w:r>
      <w:r>
        <w:rPr>
          <w:rFonts w:ascii="Times New Roman" w:cs="Times New Roman" w:eastAsia="Times New Roman" w:hAnsi="Times New Roman"/>
          <w:sz w:val="14"/>
          <w:szCs w:val="14"/>
          <w:u w:val="single" w:color="auto"/>
          <w:color w:val="auto"/>
        </w:rPr>
        <w:t>  Satisfaction of Sinking Fund Payments with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6"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11.3.    </w:t>
      </w:r>
      <w:r>
        <w:rPr>
          <w:rFonts w:ascii="Times New Roman" w:cs="Times New Roman" w:eastAsia="Times New Roman" w:hAnsi="Times New Roman"/>
          <w:sz w:val="14"/>
          <w:szCs w:val="14"/>
          <w:u w:val="single" w:color="auto"/>
          <w:color w:val="auto"/>
        </w:rPr>
        <w:t>  Redemption of Securities for 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firstLine="985"/>
        <w:spacing w:after="0" w:line="247" w:lineRule="auto"/>
        <w:rPr>
          <w:sz w:val="20"/>
          <w:szCs w:val="20"/>
          <w:color w:val="auto"/>
        </w:rPr>
      </w:pPr>
      <w:r>
        <w:rPr>
          <w:rFonts w:ascii="Times New Roman" w:cs="Times New Roman" w:eastAsia="Times New Roman" w:hAnsi="Times New Roman"/>
          <w:sz w:val="14"/>
          <w:szCs w:val="14"/>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16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Jefferson Capital, Inc.</w:t>
      </w:r>
    </w:p>
    <w:p>
      <w:pPr>
        <w:spacing w:after="0" w:line="16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-100965</wp:posOffset>
            </wp:positionV>
            <wp:extent cx="33674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367405" cy="635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4"/>
          <w:szCs w:val="14"/>
          <w:color w:val="auto"/>
        </w:rPr>
        <w:t>Its:</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U.S. Bank Trust Company, National Association, as Trustee</w:t>
      </w:r>
    </w:p>
    <w:p>
      <w:pPr>
        <w:spacing w:after="0" w:line="17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-100965</wp:posOffset>
            </wp:positionV>
            <wp:extent cx="33674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367405" cy="635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4"/>
          <w:szCs w:val="14"/>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210820</wp:posOffset>
            </wp:positionV>
            <wp:extent cx="716534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9179"/>
          </w:cols>
          <w:pgMar w:left="1280" w:top="722"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3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1271 Avenue of the Americas</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New York, New York 10020-1401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2005965" cy="2082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005965" cy="2082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4"/>
          <w:szCs w:val="14"/>
          <w:color w:val="auto"/>
        </w:rPr>
        <w:t>Tel: +1.212.906.1200 Fax: +1.212.751.4864</w:t>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www.lw.com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980" w:type="dxa"/>
            <w:vAlign w:val="bottom"/>
            <w:gridSpan w:val="2"/>
          </w:tcPr>
          <w:p>
            <w:pPr>
              <w:ind w:left="432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Austin</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Milan</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Beijing</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Munich</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Boston</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New York</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Brussels</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67"/>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2, 2026</w:t>
            </w: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Chicago</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Paris</w:t>
            </w:r>
          </w:p>
        </w:tc>
      </w:tr>
      <w:tr>
        <w:trPr>
          <w:trHeight w:val="162"/>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Dubai</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Riyadh</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Düsseldorf</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San Diego</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Frankfurt</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Hamburg</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Seoul</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Hong Kong</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Houston</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Singapore</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London</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Tel Aviv</w:t>
            </w:r>
          </w:p>
        </w:tc>
      </w:tr>
      <w:tr>
        <w:trPr>
          <w:trHeight w:val="164"/>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 Los Angeles</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Tokyo</w:t>
            </w:r>
          </w:p>
        </w:tc>
      </w:tr>
      <w:tr>
        <w:trPr>
          <w:trHeight w:val="176"/>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5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Madrid</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4"/>
              </w:rPr>
              <w:t>Washington, D.C.</w:t>
            </w:r>
          </w:p>
        </w:tc>
      </w:tr>
      <w:tr>
        <w:trPr>
          <w:trHeight w:val="317"/>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Jefferson Capital, Inc.</w:t>
            </w:r>
          </w:p>
        </w:tc>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4"/>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600 South Highway 169, Suite 1575</w:t>
            </w: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Minnesota 55426</w:t>
            </w:r>
          </w:p>
        </w:tc>
        <w:tc>
          <w:tcPr>
            <w:tcW w:w="55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9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Re:</w:t>
            </w: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Registration Statement on Form S-3</w:t>
            </w:r>
          </w:p>
        </w:tc>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163" w:lineRule="exact"/>
        <w:rPr>
          <w:sz w:val="20"/>
          <w:szCs w:val="20"/>
          <w:color w:val="auto"/>
        </w:rPr>
      </w:pPr>
    </w:p>
    <w:p>
      <w:pPr>
        <w:jc w:val="both"/>
        <w:ind w:firstLine="492"/>
        <w:spacing w:after="0" w:line="269" w:lineRule="auto"/>
        <w:rPr>
          <w:sz w:val="20"/>
          <w:szCs w:val="20"/>
          <w:color w:val="auto"/>
        </w:rPr>
      </w:pPr>
      <w:r>
        <w:rPr>
          <w:rFonts w:ascii="Times New Roman" w:cs="Times New Roman" w:eastAsia="Times New Roman" w:hAnsi="Times New Roman"/>
          <w:sz w:val="13"/>
          <w:szCs w:val="13"/>
          <w:color w:val="auto"/>
        </w:rPr>
        <w:t>We have acted as special counsel to Jefferson Capital,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its filing on the date hereof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of a registration statement on Form S-3 (as amended,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including a base prospectus (the “</w:t>
      </w:r>
      <w:r>
        <w:rPr>
          <w:rFonts w:ascii="Times New Roman" w:cs="Times New Roman" w:eastAsia="Times New Roman" w:hAnsi="Times New Roman"/>
          <w:sz w:val="13"/>
          <w:szCs w:val="13"/>
          <w:b w:val="1"/>
          <w:bCs w:val="1"/>
          <w:i w:val="1"/>
          <w:iCs w:val="1"/>
          <w:color w:val="auto"/>
        </w:rPr>
        <w:t>Base Prospectus</w:t>
      </w:r>
      <w:r>
        <w:rPr>
          <w:rFonts w:ascii="Times New Roman" w:cs="Times New Roman" w:eastAsia="Times New Roman" w:hAnsi="Times New Roman"/>
          <w:sz w:val="13"/>
          <w:szCs w:val="13"/>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relating to the registration (a) for issue and sale by the Company of up to $100,000,000 aggregate offering amount of (i) shares of the Company’s common stock, $0.0001 par value per share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jc w:val="both"/>
        <w:ind w:firstLine="2"/>
        <w:spacing w:after="0" w:line="245" w:lineRule="auto"/>
        <w:tabs>
          <w:tab w:leader="none" w:pos="2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one or more series of the Company’s preferred stock, $0.0001 par value per share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(iii) one or more series of the Company’s debt securities (collectively,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to be issued under an indenture to be entered into between the Company, as issuer, and U.S Bank Trust Company, National Association, as trustee (a form of which is included as Exhibit 4.4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4"/>
          <w:szCs w:val="14"/>
          <w:b w:val="1"/>
          <w:bCs w:val="1"/>
          <w:i w:val="1"/>
          <w:iCs w:val="1"/>
          <w:color w:val="auto"/>
        </w:rPr>
        <w:t>Applicable Indenture</w:t>
      </w:r>
      <w:r>
        <w:rPr>
          <w:rFonts w:ascii="Times New Roman" w:cs="Times New Roman" w:eastAsia="Times New Roman" w:hAnsi="Times New Roman"/>
          <w:sz w:val="14"/>
          <w:szCs w:val="14"/>
          <w:color w:val="auto"/>
        </w:rPr>
        <w:t>”), (iv) warrants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(v) purchase contracts (“</w:t>
      </w:r>
      <w:r>
        <w:rPr>
          <w:rFonts w:ascii="Times New Roman" w:cs="Times New Roman" w:eastAsia="Times New Roman" w:hAnsi="Times New Roman"/>
          <w:sz w:val="14"/>
          <w:szCs w:val="14"/>
          <w:b w:val="1"/>
          <w:bCs w:val="1"/>
          <w:i w:val="1"/>
          <w:iCs w:val="1"/>
          <w:color w:val="auto"/>
        </w:rPr>
        <w:t>Purchase Contracts</w:t>
      </w:r>
      <w:r>
        <w:rPr>
          <w:rFonts w:ascii="Times New Roman" w:cs="Times New Roman" w:eastAsia="Times New Roman" w:hAnsi="Times New Roman"/>
          <w:sz w:val="14"/>
          <w:szCs w:val="14"/>
          <w:color w:val="auto"/>
        </w:rPr>
        <w:t>”), and (vi) units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and (b) of up to 32,721,807 shares of Common Stock to be resold from time to time by certain stockholders of the Company (the “</w:t>
      </w:r>
      <w:r>
        <w:rPr>
          <w:rFonts w:ascii="Times New Roman" w:cs="Times New Roman" w:eastAsia="Times New Roman" w:hAnsi="Times New Roman"/>
          <w:sz w:val="14"/>
          <w:szCs w:val="14"/>
          <w:b w:val="1"/>
          <w:bCs w:val="1"/>
          <w:i w:val="1"/>
          <w:iCs w:val="1"/>
          <w:color w:val="auto"/>
        </w:rPr>
        <w:t>Selling Stockholder Shares</w:t>
      </w:r>
      <w:r>
        <w:rPr>
          <w:rFonts w:ascii="Times New Roman" w:cs="Times New Roman" w:eastAsia="Times New Roman" w:hAnsi="Times New Roman"/>
          <w:sz w:val="14"/>
          <w:szCs w:val="14"/>
          <w:color w:val="auto"/>
        </w:rPr>
        <w:t>”). The Common Stock, Preferred Stock, Debt Securities, Warrants, Purchase Contracts, Units and Selling Stockholder Shares, plus any additional Common Stock, Preferred Stock, Debt Securities, Warrants, Purchase Contracts, Units and Selling Stockholder Shares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July 2,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459230" cy="182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1459230" cy="18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92"/>
        <w:spacing w:after="0" w:line="277" w:lineRule="auto"/>
        <w:rPr>
          <w:sz w:val="20"/>
          <w:szCs w:val="20"/>
          <w:color w:val="auto"/>
        </w:rPr>
      </w:pPr>
      <w:r>
        <w:rPr>
          <w:rFonts w:ascii="Times New Roman" w:cs="Times New Roman" w:eastAsia="Times New Roman" w:hAnsi="Times New Roman"/>
          <w:sz w:val="13"/>
          <w:szCs w:val="13"/>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and with respect to the opinions set forth in paragraphs 3 through 7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67"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Amended and Restated Certificate of Incorporation (the “</w:t>
      </w:r>
      <w:r>
        <w:rPr>
          <w:rFonts w:ascii="Times New Roman" w:cs="Times New Roman" w:eastAsia="Times New Roman" w:hAnsi="Times New Roman"/>
          <w:sz w:val="14"/>
          <w:szCs w:val="14"/>
          <w:b w:val="1"/>
          <w:bCs w:val="1"/>
          <w:i w:val="1"/>
          <w:iCs w:val="1"/>
          <w:color w:val="auto"/>
        </w:rPr>
        <w:t>Charter</w:t>
      </w:r>
      <w:r>
        <w:rPr>
          <w:rFonts w:ascii="Times New Roman" w:cs="Times New Roman" w:eastAsia="Times New Roman" w:hAnsi="Times New Roman"/>
          <w:sz w:val="14"/>
          <w:szCs w:val="14"/>
          <w:color w:val="auto"/>
        </w:rPr>
        <w:t>”),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146"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2.            When a series of Preferred Stock has been duly established in accordance with the terms of the Charter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Charter,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pacing w:after="0" w:line="14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3.            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203835</wp:posOffset>
            </wp:positionV>
            <wp:extent cx="716534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July 2,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459230" cy="182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1459230" cy="18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46" w:lineRule="exact"/>
        <w:rPr>
          <w:sz w:val="20"/>
          <w:szCs w:val="20"/>
          <w:color w:val="auto"/>
        </w:rPr>
      </w:pPr>
    </w:p>
    <w:p>
      <w:pPr>
        <w:jc w:val="both"/>
        <w:ind w:firstLine="492"/>
        <w:spacing w:after="0" w:line="274" w:lineRule="auto"/>
        <w:rPr>
          <w:sz w:val="20"/>
          <w:szCs w:val="20"/>
          <w:color w:val="auto"/>
        </w:rPr>
      </w:pPr>
      <w:r>
        <w:rPr>
          <w:rFonts w:ascii="Times New Roman" w:cs="Times New Roman" w:eastAsia="Times New Roman" w:hAnsi="Times New Roman"/>
          <w:sz w:val="13"/>
          <w:szCs w:val="13"/>
          <w:color w:val="auto"/>
        </w:rPr>
        <w:t>5.            When the applicable purchase contract agreement has been duly authorized, executed and delivered by all necessary corporate action of the Company, and when the specific terms of a particular issue of Purchase Contracts have been duly authorized in accordance with the terms of the applicable purchase contract agreement and authorized by all necessary corporate action of the Company, and such Purchase Contracts have been duly executed, authenticated, issued and delivered against payment therefor in accordance with the terms of the applicable purchase contract agreement and in the manner contemplated by the applicable Prospectus and by such corporate action (assuming the securities issuable under such Purchase Contracts have been duly authorized and reserved for issuance by all necessary corporate action), such Purchase Contracts will be the legally valid and binding obligations of the Company, enforceable against the Company in accordance with their terms.</w:t>
      </w:r>
    </w:p>
    <w:p>
      <w:pPr>
        <w:spacing w:after="0" w:line="131" w:lineRule="exact"/>
        <w:rPr>
          <w:sz w:val="20"/>
          <w:szCs w:val="20"/>
          <w:color w:val="auto"/>
        </w:rPr>
      </w:pPr>
    </w:p>
    <w:p>
      <w:pPr>
        <w:jc w:val="both"/>
        <w:ind w:firstLine="494"/>
        <w:spacing w:after="0" w:line="268" w:lineRule="auto"/>
        <w:tabs>
          <w:tab w:leader="none" w:pos="8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binding obligations of the Company, enforceable against the Company in accordance with their terms.7. The Selling Stockholder Shares have been duly authorized by all necessary corporate action of the Company and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534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July 2,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459230" cy="182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1459230" cy="18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3"/>
          <w:szCs w:val="13"/>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w:t>
      </w:r>
    </w:p>
    <w:p>
      <w:pPr>
        <w:spacing w:after="0" w:line="1" w:lineRule="exact"/>
        <w:rPr>
          <w:sz w:val="20"/>
          <w:szCs w:val="20"/>
          <w:color w:val="auto"/>
        </w:rPr>
      </w:pPr>
    </w:p>
    <w:p>
      <w:pPr>
        <w:jc w:val="both"/>
        <w:ind w:firstLine="2"/>
        <w:spacing w:after="0" w:line="263" w:lineRule="auto"/>
        <w:tabs>
          <w:tab w:leader="none" w:pos="19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w:t>
      </w:r>
    </w:p>
    <w:p>
      <w:pPr>
        <w:spacing w:after="0" w:line="2" w:lineRule="exact"/>
        <w:rPr>
          <w:rFonts w:ascii="Times New Roman" w:cs="Times New Roman" w:eastAsia="Times New Roman" w:hAnsi="Times New Roman"/>
          <w:sz w:val="13"/>
          <w:szCs w:val="13"/>
          <w:color w:val="auto"/>
        </w:rPr>
      </w:pPr>
    </w:p>
    <w:p>
      <w:pPr>
        <w:jc w:val="both"/>
        <w:ind w:firstLine="2"/>
        <w:spacing w:after="0" w:line="263" w:lineRule="auto"/>
        <w:tabs>
          <w:tab w:leader="none" w:pos="17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w:t>
      </w:r>
    </w:p>
    <w:p>
      <w:pPr>
        <w:ind w:left="200" w:hanging="198"/>
        <w:spacing w:after="0"/>
        <w:tabs>
          <w:tab w:leader="none" w:pos="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severability, if invalid, of provisions to the foregoing effect.</w:t>
      </w:r>
    </w:p>
    <w:p>
      <w:pPr>
        <w:spacing w:after="0" w:line="156"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3"/>
          <w:szCs w:val="13"/>
          <w:color w:val="auto"/>
        </w:rPr>
        <w:t>With your consent, we have assumed (a) that each of the Debt Securities, Warrants, Purchase Contracts and Units and the Applicable Indenture, warrant agreements, purchase contract agreements and unit agreements governing such Securities (collectively, the “</w:t>
      </w:r>
      <w:r>
        <w:rPr>
          <w:rFonts w:ascii="Times New Roman" w:cs="Times New Roman" w:eastAsia="Times New Roman" w:hAnsi="Times New Roman"/>
          <w:sz w:val="13"/>
          <w:szCs w:val="13"/>
          <w:b w:val="1"/>
          <w:bCs w:val="1"/>
          <w:i w:val="1"/>
          <w:iCs w:val="1"/>
          <w:color w:val="auto"/>
        </w:rPr>
        <w:t>Documents</w:t>
      </w:r>
      <w:r>
        <w:rPr>
          <w:rFonts w:ascii="Times New Roman" w:cs="Times New Roman" w:eastAsia="Times New Roman" w:hAnsi="Times New Roman"/>
          <w:sz w:val="13"/>
          <w:szCs w:val="13"/>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w:t>
      </w:r>
    </w:p>
    <w:p>
      <w:pPr>
        <w:spacing w:after="0" w:line="1" w:lineRule="exact"/>
        <w:rPr>
          <w:sz w:val="20"/>
          <w:szCs w:val="20"/>
          <w:color w:val="auto"/>
        </w:rPr>
      </w:pPr>
    </w:p>
    <w:p>
      <w:pPr>
        <w:ind w:firstLine="2"/>
        <w:spacing w:after="0" w:line="249" w:lineRule="auto"/>
        <w:tabs>
          <w:tab w:leader="none" w:pos="18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534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July 2,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459230" cy="182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1459230" cy="18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6534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7"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S-3 of our report dated March 12, 2026 relating to the financial statements of Jefferson Capital, Inc. appearing in the Annual Report on Form 10-K of Jefferson Capital, Inc. for the year ended December 31, 2025. We also consent to the reference to us under the heading "Experts" in such Registration Statement.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6534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16534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185420</wp:posOffset>
            </wp:positionV>
            <wp:extent cx="71653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139700</wp:posOffset>
            </wp:positionV>
            <wp:extent cx="179133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134620</wp:posOffset>
            </wp:positionV>
            <wp:extent cx="358267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66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4"/>
                <w:szCs w:val="14"/>
                <w:color w:val="auto"/>
                <w:w w:val="95"/>
              </w:rPr>
              <w:t>200 South 6</w:t>
            </w:r>
            <w:r>
              <w:rPr>
                <w:rFonts w:ascii="Times New Roman" w:cs="Times New Roman" w:eastAsia="Times New Roman" w:hAnsi="Times New Roman"/>
                <w:sz w:val="22"/>
                <w:szCs w:val="22"/>
                <w:color w:val="auto"/>
                <w:w w:val="95"/>
                <w:vertAlign w:val="superscript"/>
              </w:rPr>
              <w:t>th</w:t>
            </w:r>
            <w:r>
              <w:rPr>
                <w:rFonts w:ascii="Times New Roman" w:cs="Times New Roman" w:eastAsia="Times New Roman" w:hAnsi="Times New Roman"/>
                <w:sz w:val="14"/>
                <w:szCs w:val="14"/>
                <w:color w:val="auto"/>
                <w:w w:val="95"/>
              </w:rPr>
              <w:t xml:space="preserve"> Street</w:t>
            </w:r>
          </w:p>
        </w:tc>
        <w:tc>
          <w:tcPr>
            <w:tcW w:w="1700" w:type="dxa"/>
            <w:vAlign w:val="bottom"/>
            <w:tcBorders>
              <w:top w:val="single" w:sz="8" w:color="auto"/>
            </w:tcBorders>
          </w:tcPr>
          <w:p>
            <w:pPr>
              <w:spacing w:after="0"/>
              <w:rPr>
                <w:sz w:val="16"/>
                <w:szCs w:val="16"/>
                <w:color w:val="auto"/>
              </w:rPr>
            </w:pPr>
          </w:p>
        </w:tc>
        <w:tc>
          <w:tcPr>
            <w:tcW w:w="3940" w:type="dxa"/>
            <w:vAlign w:val="bottom"/>
            <w:tcBorders>
              <w:top w:val="single" w:sz="8" w:color="auto"/>
              <w:right w:val="single" w:sz="8" w:color="auto"/>
            </w:tcBorders>
            <w:vMerge w:val="restart"/>
          </w:tcPr>
          <w:p>
            <w:pPr>
              <w:jc w:val="center"/>
              <w:ind w:right="1652"/>
              <w:spacing w:after="0"/>
              <w:rPr>
                <w:sz w:val="20"/>
                <w:szCs w:val="20"/>
                <w:color w:val="auto"/>
              </w:rPr>
            </w:pPr>
            <w:r>
              <w:rPr>
                <w:rFonts w:ascii="Times New Roman" w:cs="Times New Roman" w:eastAsia="Times New Roman" w:hAnsi="Times New Roman"/>
                <w:sz w:val="14"/>
                <w:szCs w:val="14"/>
                <w:color w:val="auto"/>
                <w:w w:val="97"/>
              </w:rPr>
              <w:t>55402</w:t>
            </w:r>
          </w:p>
        </w:tc>
        <w:tc>
          <w:tcPr>
            <w:tcW w:w="0" w:type="dxa"/>
            <w:vAlign w:val="bottom"/>
          </w:tcPr>
          <w:p>
            <w:pPr>
              <w:spacing w:after="0"/>
              <w:rPr>
                <w:sz w:val="1"/>
                <w:szCs w:val="1"/>
                <w:color w:val="auto"/>
              </w:rPr>
            </w:pPr>
          </w:p>
        </w:tc>
      </w:tr>
      <w:tr>
        <w:trPr>
          <w:trHeight w:val="176"/>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Minneapolis, Minnesota</w:t>
            </w:r>
          </w:p>
        </w:tc>
        <w:tc>
          <w:tcPr>
            <w:tcW w:w="1700" w:type="dxa"/>
            <w:vAlign w:val="bottom"/>
            <w:tcBorders>
              <w:bottom w:val="single" w:sz="8" w:color="auto"/>
            </w:tcBorders>
          </w:tcPr>
          <w:p>
            <w:pPr>
              <w:spacing w:after="0"/>
              <w:rPr>
                <w:sz w:val="15"/>
                <w:szCs w:val="15"/>
                <w:color w:val="auto"/>
              </w:rPr>
            </w:pPr>
          </w:p>
        </w:tc>
        <w:tc>
          <w:tcPr>
            <w:tcW w:w="39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2"/>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306"/>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color w:val="auto"/>
                <w:w w:val="97"/>
              </w:rPr>
              <w:t>Quinton M. DePompolo</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72"/>
              <w:spacing w:after="0"/>
              <w:rPr>
                <w:sz w:val="20"/>
                <w:szCs w:val="20"/>
                <w:color w:val="auto"/>
              </w:rPr>
            </w:pPr>
            <w:r>
              <w:rPr>
                <w:rFonts w:ascii="Times New Roman" w:cs="Times New Roman" w:eastAsia="Times New Roman" w:hAnsi="Times New Roman"/>
                <w:sz w:val="14"/>
                <w:szCs w:val="14"/>
                <w:color w:val="auto"/>
                <w:w w:val="97"/>
              </w:rPr>
              <w:t>U.S. Bank Trust Company, National Association</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72"/>
              <w:spacing w:after="0"/>
              <w:rPr>
                <w:sz w:val="20"/>
                <w:szCs w:val="20"/>
                <w:color w:val="auto"/>
              </w:rPr>
            </w:pPr>
            <w:r>
              <w:rPr>
                <w:rFonts w:ascii="Times New Roman" w:cs="Times New Roman" w:eastAsia="Times New Roman" w:hAnsi="Times New Roman"/>
                <w:sz w:val="14"/>
                <w:szCs w:val="14"/>
                <w:color w:val="auto"/>
                <w:w w:val="97"/>
              </w:rPr>
              <w:t>60 Livingston Avenue</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color w:val="auto"/>
                <w:w w:val="96"/>
              </w:rPr>
              <w:t>St. Paul, MN 55107</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72"/>
              <w:spacing w:after="0"/>
              <w:rPr>
                <w:sz w:val="20"/>
                <w:szCs w:val="20"/>
                <w:color w:val="auto"/>
              </w:rPr>
            </w:pPr>
            <w:r>
              <w:rPr>
                <w:rFonts w:ascii="Times New Roman" w:cs="Times New Roman" w:eastAsia="Times New Roman" w:hAnsi="Times New Roman"/>
                <w:sz w:val="14"/>
                <w:szCs w:val="14"/>
                <w:color w:val="auto"/>
                <w:w w:val="98"/>
              </w:rPr>
              <w:t>(651) 466-7108</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color w:val="auto"/>
                <w:w w:val="97"/>
              </w:rPr>
              <w:t>(Name, address and telephone number of agent for service)</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b w:val="1"/>
                <w:bCs w:val="1"/>
                <w:color w:val="auto"/>
                <w:w w:val="97"/>
              </w:rPr>
              <w:t>JEFFERSON CAPITAL,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color w:val="auto"/>
                <w:w w:val="98"/>
              </w:rPr>
              <w:t>(Issuer with respect to the Securities)</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6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Delaware</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2"/>
              <w:spacing w:after="0" w:line="155" w:lineRule="exact"/>
              <w:rPr>
                <w:sz w:val="20"/>
                <w:szCs w:val="20"/>
                <w:color w:val="auto"/>
              </w:rPr>
            </w:pPr>
            <w:r>
              <w:rPr>
                <w:rFonts w:ascii="Times New Roman" w:cs="Times New Roman" w:eastAsia="Times New Roman" w:hAnsi="Times New Roman"/>
                <w:sz w:val="14"/>
                <w:szCs w:val="14"/>
                <w:color w:val="auto"/>
                <w:w w:val="97"/>
              </w:rPr>
              <w:t>33-1923926</w:t>
            </w:r>
          </w:p>
        </w:tc>
        <w:tc>
          <w:tcPr>
            <w:tcW w:w="0" w:type="dxa"/>
            <w:vAlign w:val="bottom"/>
          </w:tcPr>
          <w:p>
            <w:pPr>
              <w:spacing w:after="0"/>
              <w:rPr>
                <w:sz w:val="1"/>
                <w:szCs w:val="1"/>
                <w:color w:val="auto"/>
              </w:rPr>
            </w:pPr>
          </w:p>
        </w:tc>
      </w:tr>
      <w:tr>
        <w:trPr>
          <w:trHeight w:val="154"/>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2"/>
              <w:spacing w:after="0" w:line="155" w:lineRule="exact"/>
              <w:rPr>
                <w:sz w:val="20"/>
                <w:szCs w:val="20"/>
                <w:color w:val="auto"/>
              </w:rPr>
            </w:pPr>
            <w:r>
              <w:rPr>
                <w:rFonts w:ascii="Times New Roman" w:cs="Times New Roman" w:eastAsia="Times New Roman" w:hAnsi="Times New Roman"/>
                <w:sz w:val="14"/>
                <w:szCs w:val="14"/>
                <w:color w:val="auto"/>
                <w:w w:val="97"/>
              </w:rPr>
              <w:t>(I.R.S. Employer Identification No.)</w:t>
            </w:r>
          </w:p>
        </w:tc>
        <w:tc>
          <w:tcPr>
            <w:tcW w:w="0" w:type="dxa"/>
            <w:vAlign w:val="bottom"/>
          </w:tcPr>
          <w:p>
            <w:pPr>
              <w:spacing w:after="0"/>
              <w:rPr>
                <w:sz w:val="1"/>
                <w:szCs w:val="1"/>
                <w:color w:val="auto"/>
              </w:rPr>
            </w:pPr>
          </w:p>
        </w:tc>
      </w:tr>
      <w:tr>
        <w:trPr>
          <w:trHeight w:val="154"/>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6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600 South Highway 169, Suite 1575</w:t>
            </w:r>
          </w:p>
        </w:tc>
        <w:tc>
          <w:tcPr>
            <w:tcW w:w="1700" w:type="dxa"/>
            <w:vAlign w:val="bottom"/>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Minneapolis, Minnesota</w:t>
            </w:r>
          </w:p>
        </w:tc>
        <w:tc>
          <w:tcPr>
            <w:tcW w:w="1700" w:type="dxa"/>
            <w:vAlign w:val="bottom"/>
            <w:tcBorders>
              <w:bottom w:val="single" w:sz="8" w:color="auto"/>
            </w:tcBorders>
          </w:tcPr>
          <w:p>
            <w:pPr>
              <w:spacing w:after="0"/>
              <w:rPr>
                <w:sz w:val="15"/>
                <w:szCs w:val="15"/>
                <w:color w:val="auto"/>
              </w:rPr>
            </w:pPr>
          </w:p>
        </w:tc>
        <w:tc>
          <w:tcPr>
            <w:tcW w:w="3940" w:type="dxa"/>
            <w:vAlign w:val="bottom"/>
            <w:tcBorders>
              <w:bottom w:val="single" w:sz="8" w:color="auto"/>
              <w:right w:val="single" w:sz="8" w:color="auto"/>
            </w:tcBorders>
          </w:tcPr>
          <w:p>
            <w:pPr>
              <w:jc w:val="center"/>
              <w:ind w:right="1652"/>
              <w:spacing w:after="0"/>
              <w:rPr>
                <w:sz w:val="20"/>
                <w:szCs w:val="20"/>
                <w:color w:val="auto"/>
              </w:rPr>
            </w:pPr>
            <w:r>
              <w:rPr>
                <w:rFonts w:ascii="Times New Roman" w:cs="Times New Roman" w:eastAsia="Times New Roman" w:hAnsi="Times New Roman"/>
                <w:sz w:val="14"/>
                <w:szCs w:val="14"/>
                <w:color w:val="auto"/>
                <w:w w:val="97"/>
              </w:rPr>
              <w:t>55426</w:t>
            </w: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2"/>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302"/>
        </w:trPr>
        <w:tc>
          <w:tcPr>
            <w:tcW w:w="7360" w:type="dxa"/>
            <w:vAlign w:val="bottom"/>
            <w:gridSpan w:val="2"/>
          </w:tcPr>
          <w:p>
            <w:pPr>
              <w:jc w:val="center"/>
              <w:ind w:left="3852"/>
              <w:spacing w:after="0"/>
              <w:rPr>
                <w:sz w:val="20"/>
                <w:szCs w:val="20"/>
                <w:color w:val="auto"/>
              </w:rPr>
            </w:pPr>
            <w:r>
              <w:rPr>
                <w:rFonts w:ascii="Times New Roman" w:cs="Times New Roman" w:eastAsia="Times New Roman" w:hAnsi="Times New Roman"/>
                <w:sz w:val="14"/>
                <w:szCs w:val="14"/>
                <w:b w:val="1"/>
                <w:bCs w:val="1"/>
                <w:color w:val="auto"/>
                <w:w w:val="97"/>
              </w:rPr>
              <w:t>Debt Securities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360" w:type="dxa"/>
            <w:vAlign w:val="bottom"/>
            <w:gridSpan w:val="2"/>
          </w:tcPr>
          <w:p>
            <w:pPr>
              <w:jc w:val="center"/>
              <w:ind w:left="3872"/>
              <w:spacing w:after="0"/>
              <w:rPr>
                <w:sz w:val="20"/>
                <w:szCs w:val="20"/>
                <w:color w:val="auto"/>
              </w:rPr>
            </w:pPr>
            <w:r>
              <w:rPr>
                <w:rFonts w:ascii="Times New Roman" w:cs="Times New Roman" w:eastAsia="Times New Roman" w:hAnsi="Times New Roman"/>
                <w:sz w:val="14"/>
                <w:szCs w:val="14"/>
                <w:b w:val="1"/>
                <w:bCs w:val="1"/>
                <w:color w:val="auto"/>
                <w:w w:val="97"/>
              </w:rPr>
              <w:t>(Title of the Indenture Securities)</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9" w:right="319" w:bottom="1440" w:gutter="0" w:footer="0" w:header="0"/>
        </w:sectPr>
      </w:pPr>
    </w:p>
    <w:bookmarkStart w:id="102" w:name="page103"/>
    <w:bookmarkEnd w:id="102"/>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67" w:lineRule="exact"/>
        <w:rPr>
          <w:sz w:val="20"/>
          <w:szCs w:val="20"/>
          <w:color w:val="auto"/>
        </w:rPr>
      </w:pPr>
    </w:p>
    <w:p>
      <w:pPr>
        <w:ind w:left="980" w:hanging="239"/>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80" w:right="5919" w:hanging="739"/>
        <w:spacing w:after="0" w:line="489" w:lineRule="auto"/>
        <w:tabs>
          <w:tab w:leader="none" w:pos="98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6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1" w:lineRule="exact"/>
        <w:rPr>
          <w:sz w:val="20"/>
          <w:szCs w:val="20"/>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March 31, 2026,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653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1" w:lineRule="exact"/>
        <w:rPr>
          <w:sz w:val="20"/>
          <w:szCs w:val="20"/>
          <w:color w:val="auto"/>
        </w:rPr>
      </w:pPr>
    </w:p>
    <w:p>
      <w:pPr>
        <w:ind w:right="60" w:firstLine="492"/>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of July,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Quinton M. DePompolo</w:t>
            </w:r>
          </w:p>
        </w:tc>
      </w:tr>
      <w:tr>
        <w:trPr>
          <w:trHeight w:val="142"/>
        </w:trPr>
        <w:tc>
          <w:tcPr>
            <w:tcW w:w="6200" w:type="dxa"/>
            <w:vAlign w:val="bottom"/>
          </w:tcPr>
          <w:p>
            <w:pPr>
              <w:spacing w:after="0"/>
              <w:rPr>
                <w:sz w:val="12"/>
                <w:szCs w:val="12"/>
                <w:color w:val="auto"/>
              </w:rPr>
            </w:pPr>
          </w:p>
        </w:tc>
        <w:tc>
          <w:tcPr>
            <w:tcW w:w="5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Quinton M. DePompolo</w:t>
            </w:r>
          </w:p>
        </w:tc>
      </w:tr>
      <w:tr>
        <w:trPr>
          <w:trHeight w:val="176"/>
        </w:trPr>
        <w:tc>
          <w:tcPr>
            <w:tcW w:w="620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329"/>
        </w:trPr>
        <w:tc>
          <w:tcPr>
            <w:tcW w:w="6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8"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6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main office of the Association shall be in the city of Portland, county of Multnomah, state of Oregon. The business of the Association will be limited to fiduciary powers and the support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incidental to the exercise of those powers. The Association may not expand or alter its business beyond that stated in this article without the prior approval of the Comptroller of the Currency.</w:t>
      </w:r>
    </w:p>
    <w:p>
      <w:pPr>
        <w:spacing w:after="0" w:line="1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 determined from time to time by resolution 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5" w:name="page106"/>
    <w:bookmarkEnd w:id="105"/>
    <w:p>
      <w:pPr>
        <w:jc w:val="both"/>
        <w:spacing w:after="0" w:line="255"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 decreased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time to time, according to the provisions of the laws of the United States. The Association shall have only one class of capital stock.</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67" w:lineRule="exact"/>
        <w:rPr>
          <w:sz w:val="20"/>
          <w:szCs w:val="20"/>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67" w:lineRule="exact"/>
        <w:rPr>
          <w:rFonts w:ascii="Times New Roman" w:cs="Times New Roman" w:eastAsia="Times New Roman" w:hAnsi="Times New Roman"/>
          <w:sz w:val="14"/>
          <w:szCs w:val="14"/>
          <w:color w:val="auto"/>
        </w:rPr>
      </w:pPr>
    </w:p>
    <w:p>
      <w:pPr>
        <w:ind w:left="500" w:hanging="498"/>
        <w:spacing w:after="0" w:line="266" w:lineRule="auto"/>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9" w:lineRule="exact"/>
        <w:rPr>
          <w:rFonts w:ascii="Times New Roman" w:cs="Times New Roman" w:eastAsia="Times New Roman" w:hAnsi="Times New Roman"/>
          <w:sz w:val="14"/>
          <w:szCs w:val="14"/>
          <w:color w:val="auto"/>
        </w:rPr>
      </w:pPr>
    </w:p>
    <w:p>
      <w:pPr>
        <w:ind w:left="5600" w:hanging="70"/>
        <w:spacing w:after="0"/>
        <w:tabs>
          <w:tab w:leader="none" w:pos="56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7" w:name="page108"/>
    <w:bookmarkEnd w:id="107"/>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board of directors shall have the power to change the location of the main office to any authorized branch within the limits of the city of Portland, Oregon, without the approval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 unless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 xml:space="preserve">In witness whereof, we have hereunto set our hands this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4"/>
          <w:szCs w:val="14"/>
          <w:color w:val="auto"/>
        </w:rPr>
        <w:t xml:space="preserve"> of June, 1997.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Jeffrey T. Grubb</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Robert D. Sznewajs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Dwight V. Board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 K. Chatterjee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Robert Lane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23"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124460</wp:posOffset>
            </wp:positionV>
            <wp:extent cx="7165340" cy="6761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65340" cy="6761480"/>
                    </a:xfrm>
                    <a:prstGeom prst="rect">
                      <a:avLst/>
                    </a:prstGeom>
                    <a:noFill/>
                  </pic:spPr>
                </pic:pic>
              </a:graphicData>
            </a:graphic>
          </wp:anchor>
        </w:drawing>
      </w:r>
    </w:p>
    <w:p>
      <w:pPr>
        <w:sectPr>
          <w:pgSz w:w="11900" w:h="16838" w:orient="portrait"/>
          <w:cols w:equalWidth="0" w:num="1">
            <w:col w:w="9019"/>
          </w:cols>
          <w:pgMar w:left="1440" w:top="718"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320675</wp:posOffset>
            </wp:positionV>
            <wp:extent cx="716534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2" w:name="page113"/>
    <w:bookmarkEnd w:id="112"/>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67" w:lineRule="exact"/>
        <w:rPr>
          <w:sz w:val="20"/>
          <w:szCs w:val="20"/>
          <w:color w:val="auto"/>
        </w:rPr>
      </w:pPr>
    </w:p>
    <w:p>
      <w:pPr>
        <w:ind w:left="1320" w:hanging="579"/>
        <w:spacing w:after="0"/>
        <w:tabs>
          <w:tab w:leader="none" w:pos="1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167" w:lineRule="exact"/>
        <w:rPr>
          <w:rFonts w:ascii="Times New Roman" w:cs="Times New Roman" w:eastAsia="Times New Roman" w:hAnsi="Times New Roman"/>
          <w:sz w:val="14"/>
          <w:szCs w:val="14"/>
          <w:color w:val="auto"/>
        </w:rPr>
      </w:pPr>
    </w:p>
    <w:p>
      <w:pPr>
        <w:ind w:left="740" w:firstLine="1"/>
        <w:spacing w:after="0" w:line="266" w:lineRule="auto"/>
        <w:tabs>
          <w:tab w:leader="none" w:pos="13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Who Shall Constitute</w:t>
      </w:r>
      <w:r>
        <w:rPr>
          <w:rFonts w:ascii="Times New Roman" w:cs="Times New Roman" w:eastAsia="Times New Roman" w:hAnsi="Times New Roman"/>
          <w:sz w:val="14"/>
          <w:szCs w:val="14"/>
          <w:color w:val="auto"/>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6" w:name="page117"/>
    <w:bookmarkEnd w:id="116"/>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7" w:name="page118"/>
    <w:bookmarkEnd w:id="117"/>
    <w:p>
      <w:pPr>
        <w:ind w:left="528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Records</w:t>
      </w:r>
      <w:r>
        <w:rPr>
          <w:rFonts w:ascii="Times New Roman" w:cs="Times New Roman" w:eastAsia="Times New Roman" w:hAnsi="Times New Roman"/>
          <w:sz w:val="13"/>
          <w:szCs w:val="13"/>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8" w:name="page119"/>
    <w:bookmarkEnd w:id="118"/>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716534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1"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July 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Quinton M. DePompolo</w:t>
            </w:r>
          </w:p>
        </w:tc>
      </w:tr>
      <w:tr>
        <w:trPr>
          <w:trHeight w:val="142"/>
        </w:trPr>
        <w:tc>
          <w:tcPr>
            <w:tcW w:w="6200" w:type="dxa"/>
            <w:vAlign w:val="bottom"/>
          </w:tcPr>
          <w:p>
            <w:pPr>
              <w:spacing w:after="0"/>
              <w:rPr>
                <w:sz w:val="12"/>
                <w:szCs w:val="12"/>
                <w:color w:val="auto"/>
              </w:rPr>
            </w:pPr>
          </w:p>
        </w:tc>
        <w:tc>
          <w:tcPr>
            <w:tcW w:w="5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Quinton M. DePompolo</w:t>
            </w:r>
          </w:p>
        </w:tc>
      </w:tr>
      <w:tr>
        <w:trPr>
          <w:trHeight w:val="176"/>
        </w:trPr>
        <w:tc>
          <w:tcPr>
            <w:tcW w:w="620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493"/>
        </w:trPr>
        <w:tc>
          <w:tcPr>
            <w:tcW w:w="6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10</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8" w:right="31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7</w:t>
            </w:r>
          </w:p>
        </w:tc>
        <w:tc>
          <w:tcPr>
            <w:tcW w:w="42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60" w:type="dxa"/>
            <w:vAlign w:val="bottom"/>
            <w:gridSpan w:val="4"/>
          </w:tcPr>
          <w:p>
            <w:pPr>
              <w:jc w:val="center"/>
              <w:ind w:right="2523"/>
              <w:spacing w:after="0"/>
              <w:rPr>
                <w:sz w:val="20"/>
                <w:szCs w:val="20"/>
                <w:color w:val="auto"/>
              </w:rPr>
            </w:pPr>
            <w:r>
              <w:rPr>
                <w:rFonts w:ascii="Times New Roman" w:cs="Times New Roman" w:eastAsia="Times New Roman" w:hAnsi="Times New Roman"/>
                <w:sz w:val="14"/>
                <w:szCs w:val="14"/>
                <w:b w:val="1"/>
                <w:bCs w:val="1"/>
                <w:color w:val="auto"/>
                <w:w w:val="96"/>
              </w:rPr>
              <w:t>U.S. Bank Trust Company, National Association</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460" w:type="dxa"/>
            <w:vAlign w:val="bottom"/>
            <w:gridSpan w:val="4"/>
          </w:tcPr>
          <w:p>
            <w:pPr>
              <w:jc w:val="center"/>
              <w:ind w:right="2503"/>
              <w:spacing w:after="0"/>
              <w:rPr>
                <w:sz w:val="20"/>
                <w:szCs w:val="20"/>
                <w:color w:val="auto"/>
              </w:rPr>
            </w:pPr>
            <w:r>
              <w:rPr>
                <w:rFonts w:ascii="Times New Roman" w:cs="Times New Roman" w:eastAsia="Times New Roman" w:hAnsi="Times New Roman"/>
                <w:sz w:val="14"/>
                <w:szCs w:val="14"/>
                <w:b w:val="1"/>
                <w:bCs w:val="1"/>
                <w:color w:val="auto"/>
                <w:w w:val="97"/>
              </w:rPr>
              <w:t>Statement of Financial Condition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460" w:type="dxa"/>
            <w:vAlign w:val="bottom"/>
            <w:gridSpan w:val="4"/>
          </w:tcPr>
          <w:p>
            <w:pPr>
              <w:jc w:val="center"/>
              <w:ind w:right="2503"/>
              <w:spacing w:after="0"/>
              <w:rPr>
                <w:sz w:val="20"/>
                <w:szCs w:val="20"/>
                <w:color w:val="auto"/>
              </w:rPr>
            </w:pPr>
            <w:r>
              <w:rPr>
                <w:rFonts w:ascii="Times New Roman" w:cs="Times New Roman" w:eastAsia="Times New Roman" w:hAnsi="Times New Roman"/>
                <w:sz w:val="14"/>
                <w:szCs w:val="14"/>
                <w:b w:val="1"/>
                <w:bCs w:val="1"/>
                <w:color w:val="auto"/>
                <w:w w:val="97"/>
              </w:rPr>
              <w:t>as of 3/31/2026</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80" w:type="dxa"/>
            <w:vAlign w:val="bottom"/>
            <w:gridSpan w:val="3"/>
          </w:tcPr>
          <w:p>
            <w:pPr>
              <w:jc w:val="center"/>
              <w:ind w:right="4183"/>
              <w:spacing w:after="0"/>
              <w:rPr>
                <w:sz w:val="20"/>
                <w:szCs w:val="20"/>
                <w:color w:val="auto"/>
              </w:rPr>
            </w:pPr>
            <w:r>
              <w:rPr>
                <w:rFonts w:ascii="Times New Roman" w:cs="Times New Roman" w:eastAsia="Times New Roman" w:hAnsi="Times New Roman"/>
                <w:sz w:val="14"/>
                <w:szCs w:val="14"/>
                <w:b w:val="1"/>
                <w:bCs w:val="1"/>
                <w:color w:val="auto"/>
                <w:w w:val="96"/>
              </w:rPr>
              <w:t>($000’s)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4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2,159,991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4,683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Federal Funds</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Assets</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573,596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160,011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tcBorders>
              <w:top w:val="single" w:sz="8" w:color="CCEEFF"/>
            </w:tcBorders>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2,898,815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w:t>
            </w:r>
          </w:p>
        </w:tc>
        <w:tc>
          <w:tcPr>
            <w:tcW w:w="64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 Funds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Treasury Demand Notes</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Trading Liabilities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Borrowed Money</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Acceptances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221,704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221,704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Surplus</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Undivided Profits</w:t>
            </w:r>
          </w:p>
        </w:tc>
        <w:tc>
          <w:tcPr>
            <w:tcW w:w="1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1,505,276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tcBorders>
              <w:top w:val="single" w:sz="8" w:color="CCEEFF"/>
            </w:tcBorders>
            <w:shd w:val="clear" w:color="auto" w:fill="CCEEFF"/>
          </w:tcPr>
          <w:p>
            <w:pPr>
              <w:ind w:left="480"/>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 Capital</w:t>
            </w:r>
          </w:p>
        </w:tc>
        <w:tc>
          <w:tcPr>
            <w:tcW w:w="16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2,677,111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460" w:type="dxa"/>
            <w:vAlign w:val="bottom"/>
            <w:gridSpan w:val="4"/>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2,898,815</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07" w:right="319" w:bottom="1440" w:gutter="0" w:footer="0" w:header="0"/>
        </w:sectPr>
      </w:pPr>
    </w:p>
    <w:bookmarkStart w:id="122" w:name="page123"/>
    <w:bookmarkEnd w:id="122"/>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Jefferson Capital, Inc. / DE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5"/>
        </w:trPr>
        <w:tc>
          <w:tcPr>
            <w:tcW w:w="1840" w:type="dxa"/>
            <w:vAlign w:val="bottom"/>
            <w:vMerge w:val="restart"/>
          </w:tcPr>
          <w:p>
            <w:pPr>
              <w:jc w:val="center"/>
              <w:ind w:left="898"/>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line="165" w:lineRule="exact"/>
              <w:rPr>
                <w:sz w:val="20"/>
                <w:szCs w:val="20"/>
                <w:color w:val="auto"/>
              </w:rPr>
            </w:pPr>
            <w:r>
              <w:rPr>
                <w:rFonts w:ascii="Arial" w:cs="Arial" w:eastAsia="Arial" w:hAnsi="Arial"/>
                <w:sz w:val="16"/>
                <w:szCs w:val="16"/>
                <w:b w:val="1"/>
                <w:bCs w:val="1"/>
                <w:color w:val="auto"/>
              </w:rPr>
              <w:t>Security Calculation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18"/>
              <w:spacing w:after="0" w:line="165" w:lineRule="exact"/>
              <w:rPr>
                <w:sz w:val="20"/>
                <w:szCs w:val="20"/>
                <w:color w:val="auto"/>
              </w:rPr>
            </w:pPr>
            <w:r>
              <w:rPr>
                <w:rFonts w:ascii="Arial" w:cs="Arial" w:eastAsia="Arial" w:hAnsi="Arial"/>
                <w:sz w:val="16"/>
                <w:szCs w:val="16"/>
                <w:b w:val="1"/>
                <w:bCs w:val="1"/>
                <w:color w:val="auto"/>
              </w:rPr>
              <w:t>Amount of</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Class</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Offering</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Aggregate</w:t>
            </w:r>
          </w:p>
        </w:tc>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Forward Forward</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5"/>
        </w:trPr>
        <w:tc>
          <w:tcPr>
            <w:tcW w:w="1840" w:type="dxa"/>
            <w:vAlign w:val="bottom"/>
          </w:tcPr>
          <w:p>
            <w:pPr>
              <w:jc w:val="center"/>
              <w:ind w:left="898"/>
              <w:spacing w:after="0" w:line="165" w:lineRule="exact"/>
              <w:rPr>
                <w:sz w:val="20"/>
                <w:szCs w:val="20"/>
                <w:color w:val="auto"/>
              </w:rPr>
            </w:pPr>
            <w:r>
              <w:rPr>
                <w:rFonts w:ascii="Arial" w:cs="Arial" w:eastAsia="Arial" w:hAnsi="Arial"/>
                <w:sz w:val="16"/>
                <w:szCs w:val="16"/>
                <w:b w:val="1"/>
                <w:bCs w:val="1"/>
                <w:color w:val="auto"/>
              </w:rPr>
              <w:t>Type</w:t>
            </w: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Registered</w:t>
            </w:r>
          </w:p>
        </w:tc>
        <w:tc>
          <w:tcPr>
            <w:tcW w:w="8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File</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3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215505" cy="5986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215505" cy="5986145"/>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6"/>
                <w:szCs w:val="16"/>
                <w:color w:val="auto"/>
              </w:rPr>
            </w:pPr>
          </w:p>
        </w:tc>
        <w:tc>
          <w:tcPr>
            <w:tcW w:w="760" w:type="dxa"/>
            <w:vAlign w:val="bottom"/>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6"/>
                <w:szCs w:val="16"/>
                <w:color w:val="auto"/>
              </w:rPr>
            </w:pPr>
          </w:p>
        </w:tc>
        <w:tc>
          <w:tcPr>
            <w:tcW w:w="760" w:type="dxa"/>
            <w:vAlign w:val="bottom"/>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760" w:type="dxa"/>
            <w:vAlign w:val="bottom"/>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760" w:type="dxa"/>
            <w:vAlign w:val="bottom"/>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shd w:val="clear" w:color="auto" w:fill="E7E7E2"/>
          </w:tcPr>
          <w:p>
            <w:pPr>
              <w:jc w:val="center"/>
              <w:ind w:left="78"/>
              <w:spacing w:after="0"/>
              <w:rPr>
                <w:sz w:val="20"/>
                <w:szCs w:val="20"/>
                <w:color w:val="auto"/>
              </w:rPr>
            </w:pPr>
            <w:r>
              <w:rPr>
                <w:rFonts w:ascii="Arial" w:cs="Arial" w:eastAsia="Arial" w:hAnsi="Arial"/>
                <w:sz w:val="16"/>
                <w:szCs w:val="16"/>
                <w:color w:val="auto"/>
              </w:rPr>
              <w:t>457(o)</w:t>
            </w: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4"/>
                <w:szCs w:val="14"/>
                <w:color w:val="auto"/>
              </w:rPr>
            </w:pPr>
          </w:p>
        </w:tc>
        <w:tc>
          <w:tcPr>
            <w:tcW w:w="7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4"/>
                <w:szCs w:val="14"/>
                <w:color w:val="auto"/>
              </w:rPr>
            </w:pPr>
          </w:p>
        </w:tc>
        <w:tc>
          <w:tcPr>
            <w:tcW w:w="760" w:type="dxa"/>
            <w:vAlign w:val="bottom"/>
            <w:shd w:val="clear" w:color="auto" w:fill="E7E7E2"/>
          </w:tcPr>
          <w:p>
            <w:pPr>
              <w:jc w:val="center"/>
              <w:ind w:left="98"/>
              <w:spacing w:after="0" w:line="165" w:lineRule="exact"/>
              <w:rPr>
                <w:sz w:val="20"/>
                <w:szCs w:val="20"/>
                <w:color w:val="auto"/>
              </w:rPr>
            </w:pPr>
            <w:r>
              <w:rPr>
                <w:rFonts w:ascii="Arial" w:cs="Arial" w:eastAsia="Arial" w:hAnsi="Arial"/>
                <w:sz w:val="16"/>
                <w:szCs w:val="16"/>
                <w:color w:val="auto"/>
              </w:rPr>
              <w:t>Other</w:t>
            </w:r>
          </w:p>
        </w:tc>
        <w:tc>
          <w:tcPr>
            <w:tcW w:w="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32,721,807</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$ 81,226.90</w:t>
            </w: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588,174,481.00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E7E7E2"/>
          </w:tcPr>
          <w:p>
            <w:pPr>
              <w:spacing w:after="0" w:line="20" w:lineRule="exact"/>
              <w:rPr>
                <w:sz w:val="1"/>
                <w:szCs w:val="1"/>
                <w:color w:val="auto"/>
              </w:rPr>
            </w:pPr>
          </w:p>
        </w:tc>
        <w:tc>
          <w:tcPr>
            <w:tcW w:w="1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$ 95,036.90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688,174,481.00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$ 95,036.90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(1a) An indeterminate number or aggregate principal amount, as applicable, of securities of each identified class is being registered as may from time to time be offered at indeterminate prices, including an indeterminate number or amount of securities that may be issued upon the exercise, settlement, exchange or conversion of securities offered hereunder. Separate consideration may or may not be received for securities that are issuable upon conversion of, or in exchange for, or upon exercise of, convertible or exchangeable securities. Pursuant to Rule 416 under the Securities Act of 1933, as amended (the "Securities Act"), this registration statement shall also cover any additional securities of the registrant that become issuable by reason of any splits, dividends or similar transactions or anti-dilution adjustments.</w:t>
      </w:r>
    </w:p>
    <w:p>
      <w:pPr>
        <w:spacing w:after="0" w:line="147" w:lineRule="exact"/>
        <w:rPr>
          <w:sz w:val="20"/>
          <w:szCs w:val="20"/>
          <w:color w:val="auto"/>
        </w:rPr>
      </w:pPr>
    </w:p>
    <w:p>
      <w:pPr>
        <w:ind w:left="200" w:right="140"/>
        <w:spacing w:after="0" w:line="283" w:lineRule="auto"/>
        <w:rPr>
          <w:sz w:val="20"/>
          <w:szCs w:val="20"/>
          <w:color w:val="auto"/>
        </w:rPr>
      </w:pPr>
      <w:r>
        <w:rPr>
          <w:rFonts w:ascii="Arial" w:cs="Arial" w:eastAsia="Arial" w:hAnsi="Arial"/>
          <w:sz w:val="16"/>
          <w:szCs w:val="16"/>
          <w:color w:val="auto"/>
        </w:rPr>
        <w:t>(1b) The proposed maximum offering price per class of security will be determined from time to time by the Company in connection with the issuance by the Company of the securities registered hereunder and is not specified as to each class of security.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(1c) Estimated solely for the purpose of calculating the registration fee in accordance with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5137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9" w:lineRule="exact"/>
        <w:rPr>
          <w:sz w:val="20"/>
          <w:szCs w:val="20"/>
          <w:color w:val="auto"/>
        </w:rPr>
      </w:pPr>
    </w:p>
    <w:p>
      <w:pPr>
        <w:ind w:left="200" w:right="180"/>
        <w:spacing w:after="0" w:line="251" w:lineRule="auto"/>
        <w:rPr>
          <w:sz w:val="20"/>
          <w:szCs w:val="20"/>
          <w:color w:val="auto"/>
        </w:rPr>
      </w:pPr>
      <w:r>
        <w:rPr>
          <w:rFonts w:ascii="Arial" w:cs="Arial" w:eastAsia="Arial" w:hAnsi="Arial"/>
          <w:sz w:val="16"/>
          <w:szCs w:val="16"/>
          <w:color w:val="auto"/>
        </w:rPr>
        <w:t>With respect to the secondary offering, the registration fee has been calculated in accordance with Rule 457(c) under the Securities Act, based upon $17.98, which is the average of the high and low selling prices per share of registrant's common stock as reported on Nasdaq Global Select Market on June 25, 2026. Consists of 32,721,807 shares of common stock held by selling securityholders.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15137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r>
      <w:tr>
        <w:trPr>
          <w:trHeight w:val="190"/>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620" w:type="dxa"/>
            <w:vAlign w:val="bottom"/>
            <w:shd w:val="clear" w:color="auto" w:fill="9ADAF6"/>
          </w:tcPr>
          <w:p>
            <w:pPr>
              <w:ind w:left="100"/>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9"/>
                <w:szCs w:val="19"/>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19"/>
                <w:szCs w:val="19"/>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620" w:type="dxa"/>
            <w:vAlign w:val="bottom"/>
            <w:shd w:val="clear" w:color="auto" w:fill="9ADAF6"/>
          </w:tcPr>
          <w:p>
            <w:pPr>
              <w:ind w:left="100"/>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9"/>
                <w:szCs w:val="19"/>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r>
    </w:tbl>
    <w:p>
      <w:pPr>
        <w:sectPr>
          <w:pgSz w:w="11900" w:h="16900" w:orient="portrait"/>
          <w:cols w:equalWidth="0" w:num="1">
            <w:col w:w="11360"/>
          </w:cols>
          <w:pgMar w:left="300" w:top="141" w:right="239" w:bottom="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4086860</wp:posOffset>
            </wp:positionH>
            <wp:positionV relativeFrom="page">
              <wp:posOffset>88900</wp:posOffset>
            </wp:positionV>
            <wp:extent cx="423545" cy="768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423545" cy="76835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40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7"/>
          </w:tcPr>
          <w:p>
            <w:pPr>
              <w:ind w:left="180"/>
              <w:spacing w:after="0"/>
              <w:rPr>
                <w:sz w:val="20"/>
                <w:szCs w:val="20"/>
                <w:color w:val="auto"/>
              </w:rPr>
            </w:pPr>
            <w:r>
              <w:rPr>
                <w:rFonts w:ascii="Arial" w:cs="Arial" w:eastAsia="Arial" w:hAnsi="Arial"/>
                <w:sz w:val="16"/>
                <w:szCs w:val="16"/>
                <w:b w:val="1"/>
                <w:bCs w:val="1"/>
                <w:color w:val="auto"/>
              </w:rPr>
              <w:t>Rules 457(b) and 0-</w:t>
            </w:r>
          </w:p>
        </w:tc>
        <w:tc>
          <w:tcPr>
            <w:tcW w:w="660" w:type="dxa"/>
            <w:vAlign w:val="bottom"/>
            <w:gridSpan w:val="3"/>
          </w:tcPr>
          <w:p>
            <w:pPr>
              <w:spacing w:after="0"/>
              <w:rPr>
                <w:sz w:val="20"/>
                <w:szCs w:val="20"/>
                <w:color w:val="auto"/>
              </w:rPr>
            </w:pPr>
            <w:r>
              <w:rPr>
                <w:rFonts w:ascii="Arial" w:cs="Arial" w:eastAsia="Arial" w:hAnsi="Arial"/>
                <w:sz w:val="16"/>
                <w:szCs w:val="16"/>
                <w:b w:val="1"/>
                <w:bCs w:val="1"/>
                <w:color w:val="auto"/>
              </w:rPr>
              <w:t>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38"/>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760" w:type="dxa"/>
            <w:vAlign w:val="bottom"/>
            <w:gridSpan w:val="5"/>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760" w:type="dxa"/>
            <w:vAlign w:val="bottom"/>
            <w:gridSpan w:val="5"/>
            <w:vMerge w:val="continue"/>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78"/>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3804823E"/>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26">
    <w:nsid w:val="77465F01"/>
    <w:multiLevelType w:val="hybridMultilevel"/>
    <w:lvl w:ilvl="0">
      <w:lvlJc w:val="left"/>
      <w:lvlText w:val="(%1)"/>
      <w:numFmt w:val="decimal"/>
      <w:start w:val="5"/>
    </w:lvl>
    <w:lvl w:ilvl="1">
      <w:lvlJc w:val="left"/>
      <w:lvlText w:val="%2"/>
      <w:numFmt w:val="decimal"/>
      <w:start w:val="1"/>
    </w:lvl>
    <w:lvl w:ilvl="2">
      <w:lvlJc w:val="left"/>
      <w:lvlText w:val="(%3)"/>
      <w:numFmt w:val="upperLetter"/>
      <w:start w:val="1"/>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lowerLetter"/>
      <w:start w:val="1"/>
    </w:lvl>
    <w:lvl w:ilvl="1">
      <w:lvlJc w:val="left"/>
      <w:lvlText w:val="(%2)"/>
      <w:numFmt w:val="lowerRoman"/>
      <w:start w:val="1"/>
    </w:lvl>
  </w:abstractNum>
  <w:abstractNum w:abstractNumId="29">
    <w:nsid w:val="2463B9EA"/>
    <w:multiLevelType w:val="hybridMultilevel"/>
    <w:lvl w:ilvl="0">
      <w:lvlJc w:val="left"/>
      <w:lvlText w:val="(%1)"/>
      <w:numFmt w:val="lowerLetter"/>
      <w:start w:val="2"/>
    </w:lvl>
    <w:lvl w:ilvl="1">
      <w:lvlJc w:val="left"/>
      <w:lvlText w:val="%2"/>
      <w:numFmt w:val="lowerRoman"/>
      <w:start w:val="1"/>
    </w:lvl>
  </w:abstractNum>
  <w:abstractNum w:abstractNumId="30">
    <w:nsid w:val="5E884ADC"/>
    <w:multiLevelType w:val="hybridMultilevel"/>
    <w:lvl w:ilvl="0">
      <w:lvlJc w:val="left"/>
      <w:lvlText w:val="(%1)"/>
      <w:numFmt w:val="lowerLetter"/>
      <w:start w:val="8"/>
    </w:lvl>
  </w:abstractNum>
  <w:abstractNum w:abstractNumId="31">
    <w:nsid w:val="51EAD36B"/>
    <w:multiLevelType w:val="hybridMultilevel"/>
    <w:lvl w:ilvl="0">
      <w:lvlJc w:val="left"/>
      <w:lvlText w:val="(%1)"/>
      <w:numFmt w:val="lowerLetter"/>
      <w:start w:val="10"/>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lowerRoman"/>
      <w:start w:val="2"/>
    </w:lvl>
  </w:abstractNum>
  <w:abstractNum w:abstractNumId="36">
    <w:nsid w:val="70A64E2A"/>
    <w:multiLevelType w:val="hybridMultilevel"/>
    <w:lvl w:ilvl="0">
      <w:lvlJc w:val="left"/>
      <w:lvlText w:val="%1."/>
      <w:numFmt w:val="decimal"/>
      <w:start w:val="6"/>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1)"/>
      <w:numFmt w:val="lowerLetter"/>
      <w:start w:val="9"/>
    </w:lvl>
  </w:abstractNum>
  <w:abstractNum w:abstractNumId="39">
    <w:nsid w:val="1D4ED43B"/>
    <w:multiLevelType w:val="hybridMultilevel"/>
    <w:lvl w:ilvl="0">
      <w:lvlJc w:val="left"/>
      <w:lvlText w:val="(%1)"/>
      <w:numFmt w:val="lowerLetter"/>
      <w:start w:val="15"/>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
      <w:numFmt w:val="bullet"/>
      <w:start w:val="1"/>
    </w:lvl>
  </w:abstractNum>
  <w:abstractNum w:abstractNumId="45">
    <w:nsid w:val="542289EC"/>
    <w:multiLevelType w:val="hybridMultilevel"/>
    <w:lvl w:ilvl="0">
      <w:lvlJc w:val="left"/>
      <w:lvlText w:val="(%1)"/>
      <w:numFmt w:val="decimal"/>
      <w:start w:val="8"/>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jpeg"/><Relationship Id="rId144" Type="http://schemas.openxmlformats.org/officeDocument/2006/relationships/image" Target="media/image127.png"/><Relationship Id="rId145" Type="http://schemas.openxmlformats.org/officeDocument/2006/relationships/image" Target="media/image128.jpeg"/><Relationship Id="rId146" Type="http://schemas.openxmlformats.org/officeDocument/2006/relationships/image" Target="media/image129.png"/><Relationship Id="rId147" Type="http://schemas.openxmlformats.org/officeDocument/2006/relationships/image" Target="media/image130.jpeg"/><Relationship Id="rId148" Type="http://schemas.openxmlformats.org/officeDocument/2006/relationships/image" Target="media/image131.png"/><Relationship Id="rId149" Type="http://schemas.openxmlformats.org/officeDocument/2006/relationships/image" Target="media/image132.jpeg"/><Relationship Id="rId150" Type="http://schemas.openxmlformats.org/officeDocument/2006/relationships/image" Target="media/image133.png"/><Relationship Id="rId151" Type="http://schemas.openxmlformats.org/officeDocument/2006/relationships/image" Target="media/image134.jpe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25" Type="http://schemas.openxmlformats.org/officeDocument/2006/relationships/hyperlink" Target="https://www.sec.gov/ix?doc=/Archives/edgar/data/2046042/000110465926027199/jcap-20251231x10k.htm" TargetMode="External"/><Relationship Id="rId26" Type="http://schemas.openxmlformats.org/officeDocument/2006/relationships/hyperlink" Target="https://www.sec.gov/ix?doc=/Archives/edgar/data/2046042/000114036126015937/ny20070043x1_def14a.htm" TargetMode="External"/><Relationship Id="rId27" Type="http://schemas.openxmlformats.org/officeDocument/2006/relationships/hyperlink" Target="https://www.sec.gov/ix?doc=/Archives/edgar/data/2046042/000110465926061206/jcap-20260331x10q.htm" TargetMode="External"/><Relationship Id="rId28" Type="http://schemas.openxmlformats.org/officeDocument/2006/relationships/hyperlink" Target="https://www.sec.gov/ix?doc=/Archives/edgar/data/2046042/000110465926047776/tm2612554d1_8k.htm" TargetMode="External"/><Relationship Id="rId29" Type="http://schemas.openxmlformats.org/officeDocument/2006/relationships/hyperlink" Target="https://www.sec.gov/ix?doc=/Archives/edgar/data/2046042/000110465926071368/tm2617059d1_8k.htm" TargetMode="External"/><Relationship Id="rId30" Type="http://schemas.openxmlformats.org/officeDocument/2006/relationships/hyperlink" Target="https://www.sec.gov/Archives/edgar/data/2046042/000110465926027199/jcap-20251231xex4d9.htm" TargetMode="External"/><Relationship Id="rId70" Type="http://schemas.openxmlformats.org/officeDocument/2006/relationships/hyperlink" Target="https://www.sec.gov/Archives/edgar/data/2046042/000110465926000626/jcap-20250930xex3d1.htm" TargetMode="External"/><Relationship Id="rId71" Type="http://schemas.openxmlformats.org/officeDocument/2006/relationships/hyperlink" Target="https://www.sec.gov/Archives/edgar/data/2046042/000110465926000626/jcap-20250930xex3d2.htm" TargetMode="External"/><Relationship Id="rId72" Type="http://schemas.openxmlformats.org/officeDocument/2006/relationships/hyperlink" Target="https://www.sec.gov/Archives/edgar/data/2046042/000155837025011577/jc-20250630xex4d8.htm" TargetMode="External"/><Relationship Id="rId73" Type="http://schemas.openxmlformats.org/officeDocument/2006/relationships/hyperlink" Target="https://www.sec.gov/Archives/edgar/data/2046042/000110465925059104/tm2530355d1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2026-07-02T15:17:50Z</dcterms:created>
  <dcterms:modified xsi:type="dcterms:W3CDTF">2026-07-02T15:17:50Z</dcterms:modified>
</cp:coreProperties>
</file>